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color w:val="000000"/>
          <w:sz w:val="22"/>
        </w:rPr>
      </w:pPr>
      <w:r>
        <w:rPr>
          <w:rFonts w:hint="eastAsia" w:ascii="宋体" w:hAnsi="宋体" w:eastAsia="宋体"/>
          <w:color w:val="000000"/>
          <w:sz w:val="22"/>
        </w:rPr>
        <w:t>附件1：询价须知</w:t>
      </w:r>
      <w:bookmarkStart w:id="1" w:name="_GoBack"/>
      <w:bookmarkEnd w:id="1"/>
    </w:p>
    <w:p>
      <w:pPr>
        <w:spacing w:line="360" w:lineRule="auto"/>
        <w:jc w:val="center"/>
        <w:rPr>
          <w:rFonts w:ascii="宋体" w:hAnsi="宋体"/>
          <w:b/>
          <w:color w:val="000000"/>
          <w:sz w:val="32"/>
        </w:rPr>
      </w:pPr>
      <w:r>
        <w:rPr>
          <w:rFonts w:hint="eastAsia" w:ascii="宋体" w:hAnsi="宋体"/>
          <w:b/>
          <w:color w:val="000000"/>
          <w:sz w:val="32"/>
        </w:rPr>
        <w:t>询价须知</w:t>
      </w:r>
    </w:p>
    <w:p>
      <w:pPr>
        <w:pStyle w:val="15"/>
        <w:widowControl/>
        <w:numPr>
          <w:ilvl w:val="0"/>
          <w:numId w:val="1"/>
        </w:numPr>
        <w:spacing w:line="360" w:lineRule="auto"/>
        <w:ind w:firstLineChars="0"/>
        <w:jc w:val="left"/>
        <w:rPr>
          <w:rFonts w:ascii="宋体" w:hAnsi="宋体"/>
          <w:b/>
          <w:color w:val="000000"/>
        </w:rPr>
      </w:pPr>
      <w:r>
        <w:rPr>
          <w:rFonts w:hint="eastAsia" w:ascii="宋体" w:hAnsi="宋体"/>
          <w:b/>
          <w:color w:val="000000"/>
        </w:rPr>
        <w:t>采购内容：</w:t>
      </w:r>
    </w:p>
    <w:tbl>
      <w:tblPr>
        <w:tblStyle w:val="7"/>
        <w:tblW w:w="10678" w:type="dxa"/>
        <w:jc w:val="center"/>
        <w:tblLayout w:type="fixed"/>
        <w:tblCellMar>
          <w:top w:w="0" w:type="dxa"/>
          <w:left w:w="108" w:type="dxa"/>
          <w:bottom w:w="0" w:type="dxa"/>
          <w:right w:w="108" w:type="dxa"/>
        </w:tblCellMar>
      </w:tblPr>
      <w:tblGrid>
        <w:gridCol w:w="795"/>
        <w:gridCol w:w="1590"/>
        <w:gridCol w:w="3539"/>
        <w:gridCol w:w="3135"/>
        <w:gridCol w:w="893"/>
        <w:gridCol w:w="726"/>
      </w:tblGrid>
      <w:tr>
        <w:tblPrEx>
          <w:tblCellMar>
            <w:top w:w="0" w:type="dxa"/>
            <w:left w:w="108" w:type="dxa"/>
            <w:bottom w:w="0" w:type="dxa"/>
            <w:right w:w="108" w:type="dxa"/>
          </w:tblCellMar>
        </w:tblPrEx>
        <w:trPr>
          <w:trHeight w:val="296"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5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物料编码</w:t>
            </w:r>
          </w:p>
        </w:tc>
        <w:tc>
          <w:tcPr>
            <w:tcW w:w="35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物料描述</w:t>
            </w:r>
          </w:p>
        </w:tc>
        <w:tc>
          <w:tcPr>
            <w:tcW w:w="31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图纸名称</w:t>
            </w:r>
          </w:p>
        </w:tc>
        <w:tc>
          <w:tcPr>
            <w:tcW w:w="8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7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r>
      <w:tr>
        <w:tblPrEx>
          <w:tblCellMar>
            <w:top w:w="0" w:type="dxa"/>
            <w:left w:w="108" w:type="dxa"/>
            <w:bottom w:w="0" w:type="dxa"/>
            <w:right w:w="108" w:type="dxa"/>
          </w:tblCellMar>
        </w:tblPrEx>
        <w:trPr>
          <w:trHeight w:val="743"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2000004304</w:t>
            </w:r>
          </w:p>
        </w:tc>
        <w:tc>
          <w:tcPr>
            <w:tcW w:w="35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ZPW·GK3-2000A/K型接口柜\BXX3319.01.00\北信</w:t>
            </w:r>
          </w:p>
        </w:tc>
        <w:tc>
          <w:tcPr>
            <w:tcW w:w="3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PRINT_BXX3319.01.00_ZPW·GK3-2000A_K型接口柜.pdf</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PC</w:t>
            </w:r>
          </w:p>
        </w:tc>
        <w:tc>
          <w:tcPr>
            <w:tcW w:w="7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w:t>
            </w:r>
          </w:p>
        </w:tc>
      </w:tr>
      <w:tr>
        <w:tblPrEx>
          <w:tblCellMar>
            <w:top w:w="0" w:type="dxa"/>
            <w:left w:w="108" w:type="dxa"/>
            <w:bottom w:w="0" w:type="dxa"/>
            <w:right w:w="108" w:type="dxa"/>
          </w:tblCellMar>
        </w:tblPrEx>
        <w:trPr>
          <w:trHeight w:val="498"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2000004377</w:t>
            </w:r>
          </w:p>
        </w:tc>
        <w:tc>
          <w:tcPr>
            <w:tcW w:w="35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ZPW·XML2/K型组匣金工组装\BXX3641.01.00\北信</w:t>
            </w:r>
          </w:p>
        </w:tc>
        <w:tc>
          <w:tcPr>
            <w:tcW w:w="3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PRINT_BXX3641.01.00.pdf</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PC</w:t>
            </w:r>
          </w:p>
        </w:tc>
        <w:tc>
          <w:tcPr>
            <w:tcW w:w="7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2600</w:t>
            </w:r>
          </w:p>
        </w:tc>
      </w:tr>
      <w:tr>
        <w:tblPrEx>
          <w:tblCellMar>
            <w:top w:w="0" w:type="dxa"/>
            <w:left w:w="108" w:type="dxa"/>
            <w:bottom w:w="0" w:type="dxa"/>
            <w:right w:w="108" w:type="dxa"/>
          </w:tblCellMar>
        </w:tblPrEx>
        <w:trPr>
          <w:trHeight w:val="324"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2000419845</w:t>
            </w:r>
          </w:p>
        </w:tc>
        <w:tc>
          <w:tcPr>
            <w:tcW w:w="35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柜体组装\BXX4114.01.00\北信</w:t>
            </w:r>
          </w:p>
        </w:tc>
        <w:tc>
          <w:tcPr>
            <w:tcW w:w="3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BXX4114_01_00.pdf</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PC</w:t>
            </w:r>
          </w:p>
        </w:tc>
        <w:tc>
          <w:tcPr>
            <w:tcW w:w="7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r>
      <w:tr>
        <w:tblPrEx>
          <w:tblCellMar>
            <w:top w:w="0" w:type="dxa"/>
            <w:left w:w="108" w:type="dxa"/>
            <w:bottom w:w="0" w:type="dxa"/>
            <w:right w:w="108" w:type="dxa"/>
          </w:tblCellMar>
        </w:tblPrEx>
        <w:trPr>
          <w:trHeight w:val="332"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2000424761</w:t>
            </w:r>
          </w:p>
        </w:tc>
        <w:tc>
          <w:tcPr>
            <w:tcW w:w="35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柜体组装\BYX0276.01.00-1\北信</w:t>
            </w:r>
          </w:p>
        </w:tc>
        <w:tc>
          <w:tcPr>
            <w:tcW w:w="31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BYX0276_01_00-1.pdf</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PC</w:t>
            </w:r>
          </w:p>
        </w:tc>
        <w:tc>
          <w:tcPr>
            <w:tcW w:w="7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250</w:t>
            </w:r>
          </w:p>
        </w:tc>
      </w:tr>
    </w:tbl>
    <w:p>
      <w:pPr>
        <w:pStyle w:val="15"/>
        <w:widowControl/>
        <w:spacing w:line="360" w:lineRule="auto"/>
        <w:ind w:left="360" w:firstLine="0" w:firstLineChars="0"/>
        <w:jc w:val="left"/>
        <w:rPr>
          <w:rFonts w:hint="eastAsia" w:ascii="宋体" w:hAnsi="宋体"/>
          <w:b/>
          <w:color w:val="000000"/>
        </w:rPr>
      </w:pPr>
    </w:p>
    <w:p>
      <w:pPr>
        <w:pStyle w:val="15"/>
        <w:widowControl/>
        <w:numPr>
          <w:ilvl w:val="0"/>
          <w:numId w:val="1"/>
        </w:numPr>
        <w:spacing w:line="360" w:lineRule="auto"/>
        <w:ind w:firstLineChars="0"/>
        <w:jc w:val="left"/>
        <w:rPr>
          <w:rFonts w:ascii="宋体" w:hAnsi="宋体"/>
          <w:b/>
          <w:color w:val="000000"/>
        </w:rPr>
      </w:pPr>
      <w:r>
        <w:rPr>
          <w:rFonts w:hint="eastAsia" w:ascii="宋体" w:hAnsi="宋体"/>
          <w:b/>
          <w:color w:val="000000"/>
        </w:rPr>
        <w:t>技术要求、质量及售后服务要求</w:t>
      </w:r>
    </w:p>
    <w:p>
      <w:pPr>
        <w:pStyle w:val="15"/>
        <w:widowControl/>
        <w:spacing w:line="360" w:lineRule="auto"/>
        <w:ind w:firstLine="424" w:firstLineChars="202"/>
        <w:jc w:val="left"/>
        <w:rPr>
          <w:rFonts w:ascii="等线" w:hAnsi="等线" w:eastAsiaTheme="minorEastAsia" w:cstheme="minorBidi"/>
          <w:szCs w:val="21"/>
        </w:rPr>
      </w:pPr>
      <w:r>
        <w:rPr>
          <w:rFonts w:hint="eastAsia" w:ascii="等线" w:hAnsi="等线" w:eastAsiaTheme="minorEastAsia" w:cstheme="minorBidi"/>
          <w:szCs w:val="21"/>
        </w:rPr>
        <w:t>以上全部物料必须为原厂生产的全新、未拆封合格产品，品牌规格型号技术参数完全符合采购人要求，不接受任何偏差。</w:t>
      </w:r>
    </w:p>
    <w:p>
      <w:pPr>
        <w:pStyle w:val="15"/>
        <w:widowControl/>
        <w:numPr>
          <w:ilvl w:val="0"/>
          <w:numId w:val="1"/>
        </w:numPr>
        <w:spacing w:line="360" w:lineRule="auto"/>
        <w:ind w:firstLineChars="0"/>
        <w:jc w:val="left"/>
        <w:rPr>
          <w:rFonts w:ascii="宋体" w:hAnsi="宋体"/>
          <w:b/>
          <w:color w:val="000000"/>
        </w:rPr>
      </w:pPr>
      <w:r>
        <w:rPr>
          <w:rFonts w:hint="eastAsia" w:ascii="宋体" w:hAnsi="宋体"/>
          <w:b/>
          <w:color w:val="000000"/>
        </w:rPr>
        <w:t>报价要求</w:t>
      </w:r>
    </w:p>
    <w:p>
      <w:pPr>
        <w:widowControl/>
        <w:spacing w:line="360" w:lineRule="auto"/>
        <w:ind w:firstLine="422" w:firstLineChars="200"/>
        <w:jc w:val="left"/>
        <w:rPr>
          <w:rFonts w:ascii="宋体" w:hAnsi="宋体"/>
          <w:b/>
        </w:rPr>
      </w:pPr>
      <w:r>
        <w:rPr>
          <w:rFonts w:hint="eastAsia" w:ascii="宋体" w:hAnsi="宋体"/>
          <w:b/>
          <w:color w:val="000000"/>
        </w:rPr>
        <w:t>（1）</w:t>
      </w:r>
      <w:r>
        <w:rPr>
          <w:rFonts w:hint="eastAsia" w:ascii="宋体" w:hAnsi="宋体"/>
          <w:b/>
        </w:rPr>
        <w:t>供应商需对本项目全部物料进行报价。</w:t>
      </w:r>
    </w:p>
    <w:p>
      <w:pPr>
        <w:widowControl/>
        <w:spacing w:line="360" w:lineRule="auto"/>
        <w:ind w:firstLine="420" w:firstLineChars="200"/>
        <w:jc w:val="left"/>
        <w:rPr>
          <w:rFonts w:ascii="等线" w:hAnsi="等线"/>
          <w:szCs w:val="21"/>
        </w:rPr>
      </w:pPr>
      <w:r>
        <w:rPr>
          <w:rFonts w:hint="eastAsia" w:ascii="等线" w:hAnsi="等线"/>
          <w:szCs w:val="21"/>
        </w:rPr>
        <w:t>（</w:t>
      </w:r>
      <w:r>
        <w:rPr>
          <w:rFonts w:ascii="Times New Roman" w:hAnsi="Times New Roman"/>
          <w:bCs/>
          <w:kern w:val="0"/>
          <w:szCs w:val="21"/>
          <w:lang w:val="zh-CN"/>
        </w:rPr>
        <w:t>2</w:t>
      </w:r>
      <w:r>
        <w:rPr>
          <w:rFonts w:hint="eastAsia" w:ascii="等线" w:hAnsi="等线"/>
          <w:szCs w:val="21"/>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等线" w:hAnsi="等线"/>
          <w:szCs w:val="21"/>
        </w:rPr>
      </w:pPr>
      <w:bookmarkStart w:id="0" w:name="_Hlk117013315"/>
      <w:r>
        <w:rPr>
          <w:rFonts w:hint="eastAsia" w:ascii="等线" w:hAnsi="等线"/>
          <w:szCs w:val="21"/>
        </w:rPr>
        <w:t>（</w:t>
      </w:r>
      <w:r>
        <w:rPr>
          <w:rFonts w:ascii="Times New Roman" w:hAnsi="Times New Roman"/>
          <w:bCs/>
          <w:kern w:val="0"/>
          <w:szCs w:val="21"/>
          <w:lang w:val="zh-CN"/>
        </w:rPr>
        <w:t>3</w:t>
      </w:r>
      <w:r>
        <w:rPr>
          <w:rFonts w:hint="eastAsia" w:ascii="等线" w:hAnsi="等线"/>
          <w:szCs w:val="21"/>
        </w:rPr>
        <w:t>）</w:t>
      </w:r>
      <w:bookmarkEnd w:id="0"/>
      <w:r>
        <w:rPr>
          <w:rFonts w:hint="eastAsia" w:ascii="等线" w:hAnsi="等线"/>
          <w:szCs w:val="21"/>
        </w:rPr>
        <w:t>供应商报价应包含采购标的、运费、税金及履行本项目所必需的其他全部费用；</w:t>
      </w:r>
    </w:p>
    <w:p>
      <w:pPr>
        <w:widowControl/>
        <w:spacing w:line="360" w:lineRule="auto"/>
        <w:ind w:firstLine="420" w:firstLineChars="200"/>
        <w:jc w:val="left"/>
        <w:rPr>
          <w:rFonts w:ascii="宋体" w:hAnsi="宋体"/>
          <w:b/>
          <w:bCs/>
          <w:color w:val="000000"/>
        </w:rPr>
      </w:pPr>
      <w:r>
        <w:rPr>
          <w:rFonts w:hint="eastAsia" w:ascii="等线" w:hAnsi="等线"/>
          <w:szCs w:val="21"/>
        </w:rPr>
        <w:t>（</w:t>
      </w:r>
      <w:r>
        <w:rPr>
          <w:rFonts w:ascii="等线" w:hAnsi="等线"/>
          <w:szCs w:val="21"/>
        </w:rPr>
        <w:t>4</w:t>
      </w:r>
      <w:r>
        <w:rPr>
          <w:rFonts w:hint="eastAsia" w:ascii="等线" w:hAnsi="等线"/>
          <w:szCs w:val="21"/>
        </w:rPr>
        <w:t>）</w:t>
      </w:r>
      <w:r>
        <w:rPr>
          <w:rFonts w:hint="eastAsia" w:ascii="宋体" w:hAnsi="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ascii="等线" w:hAnsi="等线"/>
          <w:szCs w:val="21"/>
        </w:rPr>
      </w:pPr>
      <w:r>
        <w:rPr>
          <w:rFonts w:hint="eastAsia" w:ascii="等线" w:hAnsi="等线"/>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ascii="等线" w:hAnsi="等线"/>
          <w:szCs w:val="21"/>
        </w:rPr>
      </w:pPr>
      <w:r>
        <w:rPr>
          <w:rFonts w:hint="eastAsia" w:ascii="等线" w:hAnsi="等线"/>
          <w:szCs w:val="21"/>
        </w:rPr>
        <w:t>（</w:t>
      </w:r>
      <w:r>
        <w:rPr>
          <w:rFonts w:ascii="等线" w:hAnsi="等线"/>
          <w:szCs w:val="21"/>
        </w:rPr>
        <w:t>6</w:t>
      </w:r>
      <w:r>
        <w:rPr>
          <w:rFonts w:hint="eastAsia" w:ascii="等线" w:hAnsi="等线"/>
          <w:szCs w:val="21"/>
        </w:rPr>
        <w:t>）</w:t>
      </w:r>
      <w:r>
        <w:rPr>
          <w:rFonts w:hint="eastAsia" w:ascii="宋体" w:hAnsi="宋体"/>
          <w:szCs w:val="21"/>
        </w:rPr>
        <w:t>当供应商最终报价超出采购人可以接受的价格时，</w:t>
      </w:r>
      <w:r>
        <w:rPr>
          <w:rFonts w:hint="eastAsia" w:ascii="等线" w:hAnsi="等线"/>
          <w:szCs w:val="21"/>
        </w:rPr>
        <w:t>谈判将终止。</w:t>
      </w:r>
    </w:p>
    <w:p>
      <w:pPr>
        <w:widowControl/>
        <w:spacing w:line="360" w:lineRule="auto"/>
        <w:ind w:firstLine="422" w:firstLineChars="200"/>
        <w:jc w:val="left"/>
        <w:rPr>
          <w:rFonts w:ascii="宋体" w:hAnsi="宋体"/>
          <w:b/>
          <w:bCs/>
          <w:color w:val="000000"/>
        </w:rPr>
      </w:pPr>
      <w:r>
        <w:rPr>
          <w:rFonts w:hint="eastAsia" w:ascii="宋体" w:hAnsi="宋体"/>
          <w:b/>
          <w:bCs/>
          <w:color w:val="000000"/>
        </w:rPr>
        <w:t>（</w:t>
      </w:r>
      <w:r>
        <w:rPr>
          <w:rFonts w:ascii="宋体" w:hAnsi="宋体"/>
          <w:b/>
          <w:bCs/>
          <w:color w:val="000000"/>
        </w:rPr>
        <w:t>7</w:t>
      </w:r>
      <w:r>
        <w:rPr>
          <w:rFonts w:hint="eastAsia" w:ascii="宋体" w:hAnsi="宋体"/>
          <w:b/>
          <w:bCs/>
          <w:color w:val="000000"/>
        </w:rPr>
        <w:t>）供应商按采购内容数量报价，实际采购数量以采购人签订采购合同/采购订单数量为准。</w:t>
      </w:r>
    </w:p>
    <w:p>
      <w:pPr>
        <w:pStyle w:val="15"/>
        <w:widowControl/>
        <w:numPr>
          <w:ilvl w:val="0"/>
          <w:numId w:val="1"/>
        </w:numPr>
        <w:spacing w:line="360" w:lineRule="auto"/>
        <w:ind w:firstLineChars="0"/>
        <w:jc w:val="left"/>
        <w:rPr>
          <w:rFonts w:ascii="宋体" w:hAnsi="宋体"/>
          <w:szCs w:val="21"/>
        </w:rPr>
      </w:pPr>
      <w:r>
        <w:rPr>
          <w:rFonts w:hint="eastAsia"/>
          <w:b/>
          <w:szCs w:val="21"/>
        </w:rPr>
        <w:t>评审小组</w:t>
      </w:r>
    </w:p>
    <w:p>
      <w:pPr>
        <w:pStyle w:val="15"/>
        <w:widowControl/>
        <w:spacing w:line="360" w:lineRule="auto"/>
        <w:ind w:firstLine="564" w:firstLineChars="269"/>
        <w:jc w:val="left"/>
        <w:rPr>
          <w:rFonts w:ascii="等线" w:hAnsi="等线" w:eastAsiaTheme="minorEastAsia" w:cstheme="minorBidi"/>
          <w:szCs w:val="21"/>
        </w:rPr>
      </w:pPr>
      <w:r>
        <w:rPr>
          <w:rFonts w:hint="eastAsia" w:ascii="等线" w:hAnsi="等线" w:eastAsiaTheme="minorEastAsia" w:cstheme="minorBidi"/>
          <w:szCs w:val="21"/>
        </w:rPr>
        <w:t>采购人依据项目的复杂程度和技术要求成立评审小组，评审小组由技术、商务、采购等方面的三人及以上的单数组成。</w:t>
      </w:r>
    </w:p>
    <w:p>
      <w:pPr>
        <w:pStyle w:val="15"/>
        <w:widowControl/>
        <w:numPr>
          <w:ilvl w:val="0"/>
          <w:numId w:val="1"/>
        </w:numPr>
        <w:spacing w:line="360" w:lineRule="auto"/>
        <w:ind w:firstLineChars="0"/>
        <w:jc w:val="left"/>
        <w:rPr>
          <w:rFonts w:ascii="宋体" w:hAnsi="宋体"/>
          <w:b/>
          <w:color w:val="000000"/>
        </w:rPr>
      </w:pPr>
      <w:r>
        <w:rPr>
          <w:rFonts w:hint="eastAsia" w:ascii="宋体" w:hAnsi="宋体"/>
          <w:b/>
          <w:color w:val="000000"/>
        </w:rPr>
        <w:t>评审办法</w:t>
      </w:r>
    </w:p>
    <w:tbl>
      <w:tblPr>
        <w:tblStyle w:val="7"/>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83"/>
        <w:gridCol w:w="2599"/>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572"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ascii="宋体" w:hAnsi="宋体" w:eastAsia="宋体" w:cs="宋体"/>
                <w:kern w:val="0"/>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eastAsia="宋体" w:cs="宋体"/>
                <w:kern w:val="0"/>
                <w:szCs w:val="21"/>
              </w:rPr>
              <w:t>最低价法</w:t>
            </w:r>
          </w:p>
          <w:p>
            <w:pPr>
              <w:widowControl/>
              <w:spacing w:line="276" w:lineRule="auto"/>
              <w:jc w:val="left"/>
              <w:rPr>
                <w:rFonts w:ascii="宋体" w:hAnsi="宋体" w:eastAsia="宋体" w:cs="宋体"/>
                <w:kern w:val="0"/>
                <w:szCs w:val="21"/>
              </w:rPr>
            </w:pPr>
            <w:r>
              <w:rPr>
                <w:rFonts w:ascii="宋体" w:hAnsi="宋体" w:cs="仿宋_GB2312"/>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cs="Times New Roman" w:asciiTheme="minorEastAsia" w:hAnsiTheme="minorEastAsia"/>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依法设立的证明材料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Times New Roman"/>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资质要求证明材料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cs="宋体"/>
                <w:color w:val="221E1F"/>
                <w:szCs w:val="21"/>
              </w:rPr>
              <w:t>供应商应提供相关资质证书副本的复印件，以证明供应商具有承担本项目要求的资质，</w:t>
            </w:r>
            <w:r>
              <w:rPr>
                <w:rFonts w:hint="eastAsia" w:ascii="宋体" w:hAnsi="宋体" w:eastAsia="宋体" w:cs="Times New Roman"/>
                <w:szCs w:val="21"/>
              </w:rPr>
              <w:t>并</w:t>
            </w: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财务要求证明材料</w:t>
            </w:r>
          </w:p>
        </w:tc>
        <w:tc>
          <w:tcPr>
            <w:tcW w:w="2701" w:type="pct"/>
            <w:vAlign w:val="center"/>
          </w:tcPr>
          <w:p>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hint="eastAsia" w:ascii="宋体" w:hAnsi="宋体" w:cs="宋体"/>
                <w:color w:val="221E1F"/>
                <w:szCs w:val="21"/>
              </w:rPr>
              <w:t>不适用</w:t>
            </w:r>
          </w:p>
          <w:p>
            <w:pPr>
              <w:autoSpaceDE w:val="0"/>
              <w:autoSpaceDN w:val="0"/>
              <w:spacing w:line="276" w:lineRule="auto"/>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ascii="宋体" w:hAnsi="宋体" w:eastAsia="宋体" w:cs="宋体"/>
                <w:kern w:val="0"/>
                <w:szCs w:val="21"/>
                <w:u w:val="single"/>
              </w:rPr>
              <w:t>.</w:t>
            </w:r>
            <w:r>
              <w:rPr>
                <w:rFonts w:hint="eastAsia" w:ascii="宋体" w:hAnsi="宋体" w:eastAsia="宋体" w:cs="宋体"/>
                <w:kern w:val="0"/>
                <w:szCs w:val="21"/>
                <w:u w:val="single"/>
              </w:rPr>
              <w:t>供应商资格要求</w:t>
            </w:r>
            <w:r>
              <w:rPr>
                <w:rFonts w:ascii="宋体" w:hAnsi="宋体" w:cs="宋体"/>
                <w:color w:val="221E1F"/>
                <w:szCs w:val="21"/>
              </w:rPr>
              <w:t xml:space="preserve"> </w:t>
            </w:r>
            <w:r>
              <w:rPr>
                <w:rFonts w:hint="eastAsia" w:ascii="宋体" w:hAnsi="宋体" w:cs="宋体"/>
                <w:color w:val="221E1F"/>
                <w:szCs w:val="21"/>
              </w:rPr>
              <w:t>规定的年份</w:t>
            </w:r>
            <w:r>
              <w:rPr>
                <w:rFonts w:hint="eastAsia" w:ascii="Times New Roman" w:hAnsi="Times New Roman" w:cs="Times New Roman"/>
                <w:szCs w:val="21"/>
              </w:rPr>
              <w:t>（供应商的成立时间少于该规定年份的，应提供成立以来的财务会计报表）</w:t>
            </w:r>
          </w:p>
          <w:p>
            <w:pPr>
              <w:widowControl/>
              <w:spacing w:line="276" w:lineRule="auto"/>
              <w:jc w:val="left"/>
              <w:rPr>
                <w:rFonts w:ascii="宋体" w:hAnsi="宋体" w:eastAsia="宋体" w:cs="宋体"/>
                <w:kern w:val="0"/>
                <w:szCs w:val="21"/>
              </w:rPr>
            </w:pPr>
            <w:r>
              <w:rPr>
                <w:rFonts w:ascii="宋体" w:hAnsi="宋体" w:cs="宋体"/>
                <w:color w:val="221E1F"/>
                <w:szCs w:val="21"/>
              </w:rPr>
              <w:t>□</w:t>
            </w:r>
            <w:r>
              <w:rPr>
                <w:rFonts w:hint="eastAsia" w:ascii="宋体" w:hAnsi="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ascii="宋体" w:hAnsi="宋体" w:eastAsia="宋体" w:cs="宋体"/>
                <w:kern w:val="0"/>
                <w:szCs w:val="21"/>
                <w:u w:val="single"/>
              </w:rPr>
              <w:t>.</w:t>
            </w:r>
            <w:r>
              <w:rPr>
                <w:rFonts w:hint="eastAsia" w:ascii="宋体" w:hAnsi="宋体" w:eastAsia="宋体" w:cs="宋体"/>
                <w:kern w:val="0"/>
                <w:szCs w:val="21"/>
                <w:u w:val="single"/>
              </w:rPr>
              <w:t>供应商资格要求</w:t>
            </w:r>
            <w:r>
              <w:rPr>
                <w:rFonts w:ascii="宋体" w:hAnsi="宋体" w:cs="宋体"/>
                <w:color w:val="221E1F"/>
                <w:szCs w:val="21"/>
              </w:rPr>
              <w:t xml:space="preserve"> </w:t>
            </w:r>
            <w:r>
              <w:rPr>
                <w:rFonts w:hint="eastAsia" w:ascii="宋体" w:hAnsi="宋体" w:cs="宋体"/>
                <w:color w:val="221E1F"/>
                <w:szCs w:val="21"/>
              </w:rPr>
              <w:t>规定的年份</w:t>
            </w:r>
            <w:r>
              <w:rPr>
                <w:rFonts w:hint="eastAsia" w:ascii="Times New Roman" w:hAnsi="Times New Roman" w:cs="Times New Roman"/>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业绩要求证明材料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ind w:firstLine="210" w:firstLineChars="100"/>
              <w:jc w:val="left"/>
              <w:rPr>
                <w:rFonts w:ascii="宋体" w:hAnsi="宋体" w:cs="宋体"/>
                <w:color w:val="221E1F"/>
                <w:szCs w:val="21"/>
              </w:rPr>
            </w:pPr>
            <w:r>
              <w:rPr>
                <w:rFonts w:hint="eastAsia" w:ascii="宋体" w:hAnsi="宋体" w:cs="宋体"/>
                <w:color w:val="221E1F"/>
                <w:szCs w:val="21"/>
              </w:rPr>
              <w:t>业绩证明材料：</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合同</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中标通知书/成交通知书</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竣工验收报告/验收证明</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业主证明</w:t>
            </w:r>
          </w:p>
          <w:p>
            <w:pPr>
              <w:autoSpaceDE w:val="0"/>
              <w:autoSpaceDN w:val="0"/>
              <w:spacing w:line="276" w:lineRule="auto"/>
              <w:ind w:firstLine="210" w:firstLineChars="100"/>
              <w:jc w:val="left"/>
              <w:rPr>
                <w:rFonts w:ascii="宋体" w:hAnsi="宋体" w:cs="宋体"/>
                <w:color w:val="221E1F"/>
                <w:szCs w:val="21"/>
                <w:u w:val="single"/>
              </w:rPr>
            </w:pPr>
            <w:r>
              <w:rPr>
                <w:rFonts w:ascii="宋体" w:hAnsi="宋体" w:cs="宋体"/>
                <w:color w:val="221E1F"/>
                <w:szCs w:val="21"/>
              </w:rPr>
              <w:t>□</w:t>
            </w:r>
            <w:r>
              <w:rPr>
                <w:rFonts w:hint="eastAsia" w:ascii="宋体" w:hAnsi="宋体" w:cs="宋体"/>
                <w:color w:val="221E1F"/>
                <w:szCs w:val="21"/>
              </w:rPr>
              <w:t>其他材料：</w:t>
            </w:r>
            <w:r>
              <w:rPr>
                <w:rFonts w:hint="eastAsia" w:ascii="宋体" w:hAnsi="宋体" w:cs="宋体"/>
                <w:color w:val="221E1F"/>
                <w:szCs w:val="21"/>
                <w:u w:val="single"/>
              </w:rPr>
              <w:t xml:space="preserve"> </w:t>
            </w:r>
            <w:r>
              <w:rPr>
                <w:rFonts w:ascii="宋体" w:hAnsi="宋体" w:cs="宋体"/>
                <w:color w:val="221E1F"/>
                <w:szCs w:val="21"/>
                <w:u w:val="single"/>
              </w:rPr>
              <w:t xml:space="preserve">         </w:t>
            </w:r>
          </w:p>
          <w:p>
            <w:pPr>
              <w:autoSpaceDE w:val="0"/>
              <w:autoSpaceDN w:val="0"/>
              <w:spacing w:line="276" w:lineRule="auto"/>
              <w:ind w:firstLine="210" w:firstLineChars="100"/>
              <w:jc w:val="left"/>
              <w:rPr>
                <w:rFonts w:ascii="宋体" w:hAnsi="宋体" w:cs="宋体"/>
                <w:color w:val="221E1F"/>
                <w:szCs w:val="21"/>
              </w:rPr>
            </w:pPr>
            <w:r>
              <w:rPr>
                <w:rFonts w:hint="eastAsia" w:ascii="宋体" w:hAnsi="宋体" w:cs="宋体"/>
                <w:color w:val="221E1F"/>
                <w:szCs w:val="21"/>
              </w:rPr>
              <w:t>业绩证明材料种类要求：</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提供上述勾选的任一项证明材料即可</w:t>
            </w:r>
          </w:p>
          <w:p>
            <w:pPr>
              <w:autoSpaceDE w:val="0"/>
              <w:autoSpaceDN w:val="0"/>
              <w:spacing w:line="276" w:lineRule="auto"/>
              <w:ind w:firstLine="210" w:firstLineChars="100"/>
              <w:jc w:val="left"/>
              <w:rPr>
                <w:rFonts w:ascii="宋体" w:hAnsi="宋体" w:cs="宋体"/>
                <w:color w:val="221E1F"/>
                <w:szCs w:val="21"/>
              </w:rPr>
            </w:pPr>
            <w:r>
              <w:rPr>
                <w:rFonts w:ascii="宋体" w:hAnsi="宋体" w:cs="宋体"/>
                <w:color w:val="221E1F"/>
                <w:szCs w:val="21"/>
              </w:rPr>
              <w:t>□</w:t>
            </w:r>
            <w:r>
              <w:rPr>
                <w:rFonts w:hint="eastAsia" w:ascii="宋体" w:hAnsi="宋体" w:cs="宋体"/>
                <w:color w:val="221E1F"/>
                <w:szCs w:val="21"/>
              </w:rPr>
              <w:t>需同时提供上述勾选的所有证明材料</w:t>
            </w:r>
          </w:p>
          <w:p>
            <w:pPr>
              <w:widowControl/>
              <w:spacing w:line="276" w:lineRule="auto"/>
              <w:ind w:firstLine="210" w:firstLineChars="100"/>
              <w:jc w:val="left"/>
              <w:rPr>
                <w:rFonts w:ascii="宋体" w:hAnsi="宋体" w:eastAsia="宋体" w:cs="宋体"/>
                <w:kern w:val="0"/>
                <w:szCs w:val="21"/>
              </w:rPr>
            </w:pPr>
            <w:r>
              <w:rPr>
                <w:rFonts w:ascii="宋体" w:hAnsi="宋体" w:cs="宋体"/>
                <w:color w:val="221E1F"/>
                <w:szCs w:val="21"/>
              </w:rPr>
              <w:t>□</w:t>
            </w:r>
            <w:r>
              <w:rPr>
                <w:rFonts w:hint="eastAsia" w:ascii="宋体" w:hAnsi="宋体" w:cs="宋体"/>
                <w:color w:val="221E1F"/>
                <w:szCs w:val="21"/>
              </w:rPr>
              <w:t>其他要求：</w:t>
            </w:r>
            <w:r>
              <w:rPr>
                <w:rFonts w:hint="eastAsia" w:ascii="宋体" w:hAnsi="宋体" w:cs="宋体"/>
                <w:color w:val="221E1F"/>
                <w:szCs w:val="21"/>
                <w:u w:val="single"/>
              </w:rPr>
              <w:t xml:space="preserve"> </w:t>
            </w:r>
            <w:r>
              <w:rPr>
                <w:rFonts w:ascii="宋体" w:hAnsi="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信誉要求证明材料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jc w:val="left"/>
              <w:rPr>
                <w:rFonts w:ascii="Times New Roman" w:hAnsi="Times New Roman" w:eastAsia="宋体" w:cs="宋体"/>
                <w:color w:val="221E1F"/>
                <w:szCs w:val="21"/>
              </w:rPr>
            </w:pPr>
            <w:r>
              <w:rPr>
                <w:rFonts w:hint="eastAsia" w:ascii="宋体" w:hAnsi="宋体" w:cs="宋体"/>
                <w:color w:val="221E1F"/>
                <w:szCs w:val="21"/>
              </w:rPr>
              <w:t>供应商应提供相关信誉情况的证明材料，包括：</w:t>
            </w:r>
            <w:r>
              <w:rPr>
                <w:rFonts w:hint="eastAsia" w:ascii="Times New Roman" w:hAnsi="Times New Roman" w:eastAsia="宋体" w:cs="宋体"/>
                <w:color w:val="221E1F"/>
                <w:szCs w:val="21"/>
              </w:rPr>
              <w:t>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ascii="宋体" w:hAnsi="宋体" w:eastAsia="宋体" w:cs="宋体"/>
                <w:kern w:val="0"/>
                <w:szCs w:val="21"/>
              </w:rPr>
            </w:pPr>
            <w:r>
              <w:rPr>
                <w:rFonts w:hint="eastAsia" w:ascii="Times New Roman" w:hAnsi="Times New Roman"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（2）供应商报价应包含采购标的、运费、税金及履行本项目所必需的其他全部费用。</w:t>
            </w:r>
          </w:p>
          <w:p>
            <w:pPr>
              <w:autoSpaceDE w:val="0"/>
              <w:autoSpaceDN w:val="0"/>
              <w:spacing w:line="276" w:lineRule="auto"/>
              <w:jc w:val="left"/>
              <w:rPr>
                <w:rFonts w:ascii="宋体" w:hAnsi="宋体" w:eastAsia="宋体" w:cs="宋体"/>
                <w:kern w:val="0"/>
                <w:szCs w:val="21"/>
              </w:rPr>
            </w:pPr>
            <w:r>
              <w:rPr>
                <w:rFonts w:hint="eastAsia" w:ascii="Times New Roman" w:hAnsi="Times New Roman"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ascii="宋体" w:hAnsi="宋体" w:eastAsia="宋体" w:cs="Times New Roman"/>
                <w:szCs w:val="21"/>
              </w:rPr>
            </w:pPr>
            <w:r>
              <w:rPr>
                <w:rFonts w:hint="eastAsia" w:ascii="宋体" w:hAnsi="宋体" w:eastAsia="宋体" w:cs="Times New Roman"/>
                <w:szCs w:val="21"/>
              </w:rPr>
              <w:t>允许偏差的范围：</w:t>
            </w:r>
            <w:r>
              <w:rPr>
                <w:rFonts w:hint="eastAsia" w:ascii="宋体" w:hAnsi="宋体" w:cs="宋体"/>
                <w:color w:val="221E1F"/>
                <w:szCs w:val="21"/>
                <w:u w:val="single"/>
              </w:rPr>
              <w:t xml:space="preserve"> </w:t>
            </w:r>
            <w:r>
              <w:rPr>
                <w:rFonts w:ascii="宋体" w:hAnsi="宋体" w:cs="宋体"/>
                <w:color w:val="221E1F"/>
                <w:szCs w:val="21"/>
                <w:u w:val="single"/>
              </w:rPr>
              <w:t xml:space="preserve">  </w:t>
            </w:r>
            <w:r>
              <w:rPr>
                <w:rFonts w:hint="eastAsia" w:ascii="宋体" w:hAnsi="宋体" w:cs="宋体"/>
                <w:color w:val="221E1F"/>
                <w:szCs w:val="21"/>
                <w:u w:val="single"/>
              </w:rPr>
              <w:t>/</w:t>
            </w:r>
            <w:r>
              <w:rPr>
                <w:rFonts w:ascii="宋体" w:hAnsi="宋体" w:cs="宋体"/>
                <w:color w:val="221E1F"/>
                <w:szCs w:val="21"/>
                <w:u w:val="single"/>
              </w:rPr>
              <w:t xml:space="preserve">   </w:t>
            </w:r>
          </w:p>
          <w:p>
            <w:pPr>
              <w:widowControl/>
              <w:spacing w:line="276" w:lineRule="auto"/>
              <w:jc w:val="left"/>
              <w:rPr>
                <w:rFonts w:ascii="宋体" w:hAnsi="宋体" w:eastAsia="宋体" w:cs="宋体"/>
                <w:kern w:val="0"/>
                <w:szCs w:val="21"/>
              </w:rPr>
            </w:pPr>
            <w:r>
              <w:rPr>
                <w:rFonts w:hint="eastAsia" w:ascii="宋体" w:hAnsi="宋体" w:eastAsia="宋体" w:cs="Times New Roman"/>
                <w:szCs w:val="21"/>
              </w:rPr>
              <w:t>允许偏差的项数：</w:t>
            </w:r>
            <w:r>
              <w:rPr>
                <w:rFonts w:hint="eastAsia" w:ascii="宋体" w:hAnsi="宋体" w:cs="宋体"/>
                <w:color w:val="221E1F"/>
                <w:szCs w:val="21"/>
                <w:u w:val="single"/>
              </w:rPr>
              <w:t xml:space="preserve"> </w:t>
            </w:r>
            <w:r>
              <w:rPr>
                <w:rFonts w:ascii="宋体" w:hAnsi="宋体" w:cs="宋体"/>
                <w:color w:val="221E1F"/>
                <w:szCs w:val="21"/>
                <w:u w:val="single"/>
              </w:rPr>
              <w:t xml:space="preserve"> </w:t>
            </w:r>
            <w:r>
              <w:rPr>
                <w:rFonts w:hint="eastAsia" w:ascii="宋体" w:hAnsi="宋体" w:cs="宋体"/>
                <w:color w:val="221E1F"/>
                <w:szCs w:val="21"/>
                <w:u w:val="single"/>
              </w:rPr>
              <w:t>/</w:t>
            </w:r>
            <w:r>
              <w:rPr>
                <w:rFonts w:ascii="宋体" w:hAnsi="宋体" w:cs="宋体"/>
                <w:color w:val="221E1F"/>
                <w:szCs w:val="21"/>
                <w:u w:val="single"/>
              </w:rPr>
              <w:t xml:space="preserve"> </w:t>
            </w:r>
            <w:r>
              <w:rPr>
                <w:rFonts w:hint="eastAsia" w:ascii="宋体" w:hAnsi="宋体" w:eastAsia="宋体" w:cs="Times New Roman"/>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3.1.1</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3.2</w:t>
            </w:r>
            <w:r>
              <w:rPr>
                <w:rFonts w:hint="eastAsia" w:ascii="宋体" w:hAnsi="宋体" w:eastAsia="宋体" w:cs="宋体"/>
                <w:kern w:val="0"/>
                <w:szCs w:val="21"/>
              </w:rPr>
              <w:t>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3.2.1</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ascii="宋体" w:hAnsi="宋体" w:eastAsia="宋体" w:cs="仿宋_GB2312"/>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3.2.</w:t>
            </w:r>
            <w:r>
              <w:rPr>
                <w:rFonts w:ascii="Times New Roman" w:hAnsi="Times New Roman" w:eastAsia="宋体" w:cs="Times New Roman"/>
                <w:kern w:val="0"/>
                <w:szCs w:val="21"/>
              </w:rPr>
              <w:t>2</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ascii="宋体" w:hAnsi="宋体" w:eastAsia="宋体" w:cs="宋体"/>
                <w:kern w:val="0"/>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ascii="宋体" w:hAnsi="宋体" w:eastAsia="宋体" w:cs="宋体"/>
                <w:kern w:val="0"/>
                <w:szCs w:val="21"/>
              </w:rPr>
            </w:pPr>
            <w:r>
              <w:rPr>
                <w:rFonts w:ascii="宋体" w:hAnsi="宋体" w:cs="仿宋_GB2312"/>
                <w:szCs w:val="21"/>
              </w:rPr>
              <w:t>□</w:t>
            </w:r>
            <w:r>
              <w:rPr>
                <w:rFonts w:hint="eastAsia" w:ascii="宋体" w:hAnsi="宋体" w:eastAsia="宋体" w:cs="宋体"/>
                <w:kern w:val="0"/>
                <w:szCs w:val="21"/>
              </w:rPr>
              <w:t>由评审小组抽签决定</w:t>
            </w:r>
          </w:p>
        </w:tc>
      </w:tr>
    </w:tbl>
    <w:p>
      <w:pPr>
        <w:widowControl/>
        <w:spacing w:line="360" w:lineRule="auto"/>
        <w:jc w:val="left"/>
        <w:rPr>
          <w:rFonts w:ascii="宋体" w:hAnsi="宋体"/>
          <w:color w:val="000000"/>
        </w:rPr>
      </w:pPr>
    </w:p>
    <w:p>
      <w:pPr>
        <w:pStyle w:val="15"/>
        <w:widowControl/>
        <w:numPr>
          <w:ilvl w:val="0"/>
          <w:numId w:val="1"/>
        </w:numPr>
        <w:spacing w:line="360" w:lineRule="auto"/>
        <w:ind w:firstLineChars="0"/>
        <w:jc w:val="left"/>
        <w:rPr>
          <w:rFonts w:ascii="宋体" w:hAnsi="宋体"/>
          <w:b/>
          <w:color w:val="000000"/>
        </w:rPr>
      </w:pPr>
      <w:r>
        <w:rPr>
          <w:rFonts w:hint="eastAsia" w:ascii="宋体" w:hAnsi="宋体"/>
          <w:b/>
          <w:color w:val="000000"/>
        </w:rPr>
        <w:t>询价文件的澄清</w:t>
      </w:r>
    </w:p>
    <w:p>
      <w:pPr>
        <w:spacing w:line="360" w:lineRule="auto"/>
        <w:ind w:firstLine="210" w:firstLineChars="100"/>
        <w:rPr>
          <w:rFonts w:asciiTheme="minorEastAsia" w:hAnsiTheme="minorEastAsia"/>
          <w:szCs w:val="21"/>
        </w:rPr>
      </w:pPr>
      <w:r>
        <w:rPr>
          <w:rFonts w:hint="eastAsia" w:asciiTheme="minorEastAsia" w:hAnsiTheme="minorEastAsia"/>
          <w:szCs w:val="21"/>
        </w:rPr>
        <w:t>采购人可以书面形式澄清和修改询价文件，并通知所有已提交报价和文件的供应商。</w:t>
      </w:r>
    </w:p>
    <w:p>
      <w:pPr>
        <w:pStyle w:val="15"/>
        <w:widowControl/>
        <w:numPr>
          <w:ilvl w:val="0"/>
          <w:numId w:val="1"/>
        </w:numPr>
        <w:spacing w:line="360" w:lineRule="auto"/>
        <w:ind w:firstLineChars="0"/>
        <w:jc w:val="left"/>
        <w:rPr>
          <w:rFonts w:asciiTheme="minorEastAsia" w:hAnsiTheme="minorEastAsia"/>
          <w:szCs w:val="21"/>
        </w:rPr>
      </w:pPr>
      <w:r>
        <w:rPr>
          <w:rFonts w:hint="eastAsia" w:ascii="宋体" w:hAnsi="宋体"/>
          <w:b/>
          <w:color w:val="000000"/>
        </w:rPr>
        <w:t>响应文件的澄清</w:t>
      </w:r>
    </w:p>
    <w:p>
      <w:pPr>
        <w:widowControl/>
        <w:spacing w:line="360" w:lineRule="auto"/>
        <w:ind w:firstLine="420" w:firstLineChars="200"/>
        <w:jc w:val="left"/>
        <w:rPr>
          <w:rFonts w:ascii="宋体" w:hAnsi="宋体"/>
          <w:color w:val="000000"/>
        </w:rPr>
      </w:pPr>
      <w:r>
        <w:rPr>
          <w:rFonts w:hint="eastAsia" w:ascii="宋体" w:hAnsi="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5"/>
        <w:widowControl/>
        <w:numPr>
          <w:ilvl w:val="0"/>
          <w:numId w:val="1"/>
        </w:numPr>
        <w:spacing w:line="360" w:lineRule="auto"/>
        <w:ind w:firstLineChars="0"/>
        <w:jc w:val="left"/>
        <w:rPr>
          <w:rFonts w:ascii="宋体" w:hAnsi="宋体"/>
          <w:bCs/>
          <w:color w:val="000000"/>
        </w:rPr>
      </w:pPr>
      <w:r>
        <w:rPr>
          <w:rFonts w:hint="eastAsia" w:ascii="宋体" w:hAnsi="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ascii="宋体" w:hAnsi="宋体"/>
          <w:color w:val="000000"/>
        </w:rPr>
      </w:pPr>
      <w:r>
        <w:rPr>
          <w:rFonts w:hint="eastAsia" w:ascii="宋体" w:hAnsi="宋体"/>
          <w:color w:val="000000"/>
        </w:rPr>
        <w:t>（1）为采购人不具有独立法人资格的附属机构（单位）；</w:t>
      </w:r>
    </w:p>
    <w:p>
      <w:pPr>
        <w:widowControl/>
        <w:spacing w:line="360" w:lineRule="auto"/>
        <w:jc w:val="left"/>
        <w:rPr>
          <w:rFonts w:ascii="宋体" w:hAnsi="宋体"/>
          <w:color w:val="000000"/>
        </w:rPr>
      </w:pPr>
      <w:r>
        <w:rPr>
          <w:rFonts w:hint="eastAsia" w:ascii="宋体" w:hAnsi="宋体"/>
          <w:color w:val="000000"/>
        </w:rPr>
        <w:t>（2）与本包件的其他供应商为同一个单位负责人；</w:t>
      </w:r>
    </w:p>
    <w:p>
      <w:pPr>
        <w:widowControl/>
        <w:spacing w:line="360" w:lineRule="auto"/>
        <w:jc w:val="left"/>
        <w:rPr>
          <w:rFonts w:ascii="宋体" w:hAnsi="宋体"/>
          <w:color w:val="000000"/>
        </w:rPr>
      </w:pPr>
      <w:r>
        <w:rPr>
          <w:rFonts w:hint="eastAsia" w:ascii="宋体" w:hAnsi="宋体"/>
          <w:color w:val="000000"/>
        </w:rPr>
        <w:t>（3）与本包件的其他供应商存在控股、管理关系；</w:t>
      </w:r>
    </w:p>
    <w:p>
      <w:pPr>
        <w:widowControl/>
        <w:spacing w:line="360" w:lineRule="auto"/>
        <w:jc w:val="left"/>
        <w:rPr>
          <w:rFonts w:ascii="宋体" w:hAnsi="宋体"/>
          <w:color w:val="000000"/>
        </w:rPr>
      </w:pPr>
      <w:r>
        <w:rPr>
          <w:rFonts w:hint="eastAsia" w:ascii="宋体" w:hAnsi="宋体"/>
          <w:color w:val="000000"/>
        </w:rPr>
        <w:t>（4）为本包件的代理机构；</w:t>
      </w:r>
    </w:p>
    <w:p>
      <w:pPr>
        <w:widowControl/>
        <w:spacing w:line="360" w:lineRule="auto"/>
        <w:jc w:val="left"/>
        <w:rPr>
          <w:rFonts w:ascii="宋体" w:hAnsi="宋体"/>
          <w:color w:val="000000"/>
        </w:rPr>
      </w:pPr>
      <w:r>
        <w:rPr>
          <w:rFonts w:hint="eastAsia" w:ascii="宋体" w:hAnsi="宋体"/>
          <w:color w:val="000000"/>
        </w:rPr>
        <w:t>（5）与本包件的代理机构同为一个法定代表人；</w:t>
      </w:r>
    </w:p>
    <w:p>
      <w:pPr>
        <w:widowControl/>
        <w:spacing w:line="360" w:lineRule="auto"/>
        <w:jc w:val="left"/>
        <w:rPr>
          <w:rFonts w:ascii="宋体" w:hAnsi="宋体"/>
          <w:color w:val="000000"/>
        </w:rPr>
      </w:pPr>
      <w:r>
        <w:rPr>
          <w:rFonts w:hint="eastAsia" w:ascii="宋体" w:hAnsi="宋体"/>
          <w:color w:val="000000"/>
        </w:rPr>
        <w:t>（6）与本包件的代理机构存在控股或参股关系；</w:t>
      </w:r>
    </w:p>
    <w:p>
      <w:pPr>
        <w:widowControl/>
        <w:spacing w:line="360" w:lineRule="auto"/>
        <w:jc w:val="left"/>
        <w:rPr>
          <w:rFonts w:ascii="宋体" w:hAnsi="宋体"/>
          <w:color w:val="000000"/>
        </w:rPr>
      </w:pPr>
      <w:r>
        <w:rPr>
          <w:rFonts w:hint="eastAsia" w:ascii="宋体" w:hAnsi="宋体"/>
          <w:color w:val="000000"/>
        </w:rPr>
        <w:t>（7）被依法暂停或取消投标资格；</w:t>
      </w:r>
    </w:p>
    <w:p>
      <w:pPr>
        <w:widowControl/>
        <w:spacing w:line="360" w:lineRule="auto"/>
        <w:jc w:val="left"/>
        <w:rPr>
          <w:rFonts w:ascii="宋体" w:hAnsi="宋体"/>
          <w:color w:val="000000"/>
        </w:rPr>
      </w:pPr>
      <w:r>
        <w:rPr>
          <w:rFonts w:hint="eastAsia" w:ascii="宋体" w:hAnsi="宋体"/>
          <w:color w:val="000000"/>
        </w:rPr>
        <w:t>（8）被责令停产停业、暂扣或者吊销许可证、暂扣或者吊销执照；</w:t>
      </w:r>
    </w:p>
    <w:p>
      <w:pPr>
        <w:widowControl/>
        <w:spacing w:line="360" w:lineRule="auto"/>
        <w:jc w:val="left"/>
        <w:rPr>
          <w:rFonts w:ascii="宋体" w:hAnsi="宋体"/>
          <w:color w:val="000000"/>
        </w:rPr>
      </w:pPr>
      <w:r>
        <w:rPr>
          <w:rFonts w:hint="eastAsia" w:ascii="宋体" w:hAnsi="宋体"/>
          <w:color w:val="000000"/>
        </w:rPr>
        <w:t>（9）进入清算程序，或被宣告破产，或其他丧失履约能力的情形；</w:t>
      </w:r>
    </w:p>
    <w:p>
      <w:pPr>
        <w:widowControl/>
        <w:spacing w:line="360" w:lineRule="auto"/>
        <w:jc w:val="left"/>
        <w:rPr>
          <w:rFonts w:ascii="宋体" w:hAnsi="宋体"/>
          <w:color w:val="000000"/>
        </w:rPr>
      </w:pPr>
      <w:r>
        <w:rPr>
          <w:rFonts w:hint="eastAsia" w:ascii="宋体" w:hAnsi="宋体"/>
          <w:color w:val="000000"/>
        </w:rPr>
        <w:t>（10）在最近三年内发生重大产品质量问题（以相关行业主管部门的行政处罚决定或司法 机关出具的有关法律文书为准）；</w:t>
      </w:r>
    </w:p>
    <w:p>
      <w:pPr>
        <w:widowControl/>
        <w:spacing w:line="360" w:lineRule="auto"/>
        <w:jc w:val="left"/>
        <w:rPr>
          <w:rFonts w:ascii="宋体" w:hAnsi="宋体"/>
          <w:color w:val="000000"/>
        </w:rPr>
      </w:pPr>
      <w:r>
        <w:rPr>
          <w:rFonts w:hint="eastAsia" w:ascii="宋体" w:hAnsi="宋体"/>
          <w:color w:val="000000"/>
        </w:rPr>
        <w:t>（11）被工商行政管理机关在全国企业信用信息公示系统中列入严重违法失信企业名单；</w:t>
      </w:r>
    </w:p>
    <w:p>
      <w:pPr>
        <w:widowControl/>
        <w:spacing w:line="360" w:lineRule="auto"/>
        <w:jc w:val="left"/>
        <w:rPr>
          <w:rFonts w:ascii="宋体" w:hAnsi="宋体"/>
          <w:color w:val="000000"/>
        </w:rPr>
      </w:pPr>
      <w:r>
        <w:rPr>
          <w:rFonts w:hint="eastAsia" w:ascii="宋体" w:hAnsi="宋体"/>
          <w:color w:val="000000"/>
        </w:rPr>
        <w:t>（12）被最高人民法院在“信用中国”网站（www.creditchina.gov.cn）或各级信用信息共享平台中列入失信被执行人名单；</w:t>
      </w:r>
    </w:p>
    <w:p>
      <w:pPr>
        <w:widowControl/>
        <w:spacing w:line="360" w:lineRule="auto"/>
        <w:jc w:val="left"/>
        <w:rPr>
          <w:rFonts w:ascii="宋体" w:hAnsi="宋体"/>
          <w:color w:val="000000"/>
        </w:rPr>
      </w:pPr>
      <w:r>
        <w:rPr>
          <w:rFonts w:hint="eastAsia" w:ascii="宋体" w:hAnsi="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ascii="宋体" w:hAnsi="宋体"/>
          <w:color w:val="000000"/>
        </w:rPr>
      </w:pPr>
      <w:r>
        <w:rPr>
          <w:rFonts w:hint="eastAsia" w:ascii="宋体" w:hAnsi="宋体"/>
          <w:color w:val="000000"/>
        </w:rPr>
        <w:t>（14）法律法规或供应商须知前附表规定的其他情形</w:t>
      </w:r>
    </w:p>
    <w:p>
      <w:pPr>
        <w:pStyle w:val="15"/>
        <w:widowControl/>
        <w:numPr>
          <w:ilvl w:val="0"/>
          <w:numId w:val="1"/>
        </w:numPr>
        <w:spacing w:line="360" w:lineRule="auto"/>
        <w:ind w:firstLineChars="0"/>
        <w:jc w:val="left"/>
        <w:rPr>
          <w:rFonts w:ascii="宋体" w:hAnsi="宋体"/>
          <w:bCs/>
          <w:color w:val="000000"/>
        </w:rPr>
      </w:pPr>
      <w:r>
        <w:rPr>
          <w:rFonts w:hint="eastAsia" w:ascii="宋体" w:hAnsi="宋体"/>
          <w:bCs/>
          <w:color w:val="000000"/>
        </w:rPr>
        <w:t>采购人按照根据实际情况选择向确定的成交供应商发出成交通知，同时将询价结果通知未成交的供应商。</w:t>
      </w:r>
    </w:p>
    <w:p>
      <w:pPr>
        <w:pStyle w:val="15"/>
        <w:widowControl/>
        <w:numPr>
          <w:ilvl w:val="0"/>
          <w:numId w:val="1"/>
        </w:numPr>
        <w:spacing w:line="360" w:lineRule="auto"/>
        <w:ind w:firstLineChars="0"/>
        <w:jc w:val="left"/>
        <w:rPr>
          <w:rFonts w:ascii="宋体" w:hAnsi="宋体"/>
          <w:b/>
          <w:color w:val="000000"/>
        </w:rPr>
      </w:pPr>
      <w:r>
        <w:rPr>
          <w:rFonts w:hint="eastAsia" w:ascii="宋体" w:hAnsi="宋体"/>
          <w:b/>
          <w:color w:val="000000"/>
        </w:rPr>
        <w:t>合同授予</w:t>
      </w:r>
    </w:p>
    <w:p>
      <w:pPr>
        <w:widowControl/>
        <w:spacing w:line="360" w:lineRule="auto"/>
        <w:ind w:firstLine="420" w:firstLineChars="200"/>
        <w:jc w:val="left"/>
        <w:rPr>
          <w:rFonts w:ascii="宋体" w:hAnsi="宋体"/>
          <w:color w:val="000000"/>
        </w:rPr>
      </w:pPr>
      <w:r>
        <w:rPr>
          <w:rFonts w:hint="eastAsia" w:ascii="宋体" w:hAnsi="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5"/>
        <w:widowControl/>
        <w:numPr>
          <w:ilvl w:val="0"/>
          <w:numId w:val="1"/>
        </w:numPr>
        <w:spacing w:line="360" w:lineRule="auto"/>
        <w:ind w:firstLineChars="0"/>
        <w:jc w:val="left"/>
        <w:rPr>
          <w:rFonts w:ascii="宋体" w:hAnsi="宋体"/>
          <w:b/>
          <w:color w:val="000000"/>
        </w:rPr>
      </w:pPr>
      <w:r>
        <w:rPr>
          <w:rFonts w:hint="eastAsia" w:ascii="宋体" w:hAnsi="宋体"/>
          <w:b/>
          <w:color w:val="000000"/>
        </w:rPr>
        <w:t>其他</w:t>
      </w:r>
    </w:p>
    <w:p>
      <w:pPr>
        <w:spacing w:line="360" w:lineRule="auto"/>
        <w:ind w:firstLine="420" w:firstLineChars="200"/>
        <w:rPr>
          <w:rFonts w:ascii="宋体" w:hAnsi="宋体" w:eastAsia="宋体" w:cs="Times New Roman"/>
          <w:color w:val="000000"/>
        </w:rPr>
      </w:pPr>
      <w:r>
        <w:rPr>
          <w:rFonts w:hint="eastAsia" w:ascii="宋体" w:hAnsi="宋体" w:eastAsia="宋体" w:cs="Times New Roman"/>
          <w:color w:val="000000"/>
        </w:rPr>
        <w:t>监督部门：本询价项目的监督部门为北京铁路信号有限公司纪检监察部，电话：010-51214183，邮箱：</w:t>
      </w:r>
      <w:r>
        <w:fldChar w:fldCharType="begin"/>
      </w:r>
      <w:r>
        <w:instrText xml:space="preserve"> HYPERLINK "mailto:BXJJJC@crsc.cn" </w:instrText>
      </w:r>
      <w:r>
        <w:fldChar w:fldCharType="separate"/>
      </w:r>
      <w:r>
        <w:rPr>
          <w:rFonts w:hint="eastAsia" w:ascii="宋体" w:hAnsi="宋体" w:eastAsia="宋体" w:cs="Times New Roman"/>
          <w:color w:val="0000FF"/>
          <w:u w:val="single"/>
        </w:rPr>
        <w:t>BXJJJC@crsc.cn</w:t>
      </w:r>
      <w:r>
        <w:rPr>
          <w:rFonts w:hint="eastAsia" w:ascii="宋体" w:hAnsi="宋体" w:eastAsia="宋体" w:cs="Times New Roman"/>
          <w:color w:val="0000FF"/>
          <w:u w:val="single"/>
        </w:rPr>
        <w:fldChar w:fldCharType="end"/>
      </w:r>
      <w:r>
        <w:rPr>
          <w:rFonts w:hint="eastAsia" w:ascii="宋体" w:hAnsi="宋体" w:eastAsia="宋体" w:cs="Times New Roman"/>
          <w:color w:val="000000"/>
        </w:rPr>
        <w:t>。</w:t>
      </w:r>
    </w:p>
    <w:p>
      <w:pPr>
        <w:rPr>
          <w:rFonts w:hint="eastAsia"/>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Univers Condensed">
    <w:altName w:val="Segoe Print"/>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4"/>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北京铁路信号有限公司</w:t>
    </w:r>
    <w:r>
      <w:t>2024</w:t>
    </w:r>
    <w:r>
      <w:rPr>
        <w:rFonts w:hint="eastAsia"/>
      </w:rPr>
      <w:t>年年度备料</w:t>
    </w:r>
    <w:r>
      <w:t>—</w:t>
    </w:r>
    <w:r>
      <w:rPr>
        <w:rFonts w:hint="eastAsia"/>
      </w:rPr>
      <w:t>机柜及组匣采购项目询价须知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hNTg2OTQ1MTU4YjRlNTk1ZGMwZmVjOTY3OGYyMDkifQ=="/>
  </w:docVars>
  <w:rsids>
    <w:rsidRoot w:val="00172A27"/>
    <w:rsid w:val="00001B7B"/>
    <w:rsid w:val="00001C81"/>
    <w:rsid w:val="00012A2E"/>
    <w:rsid w:val="00014796"/>
    <w:rsid w:val="00022B10"/>
    <w:rsid w:val="00026AFB"/>
    <w:rsid w:val="00037568"/>
    <w:rsid w:val="000403A6"/>
    <w:rsid w:val="00042245"/>
    <w:rsid w:val="00042BAC"/>
    <w:rsid w:val="0004770D"/>
    <w:rsid w:val="000525BB"/>
    <w:rsid w:val="000550C9"/>
    <w:rsid w:val="000556EE"/>
    <w:rsid w:val="00060109"/>
    <w:rsid w:val="0006058D"/>
    <w:rsid w:val="0006662D"/>
    <w:rsid w:val="00066BEC"/>
    <w:rsid w:val="000675C9"/>
    <w:rsid w:val="000752FF"/>
    <w:rsid w:val="00086934"/>
    <w:rsid w:val="000902F8"/>
    <w:rsid w:val="0009395D"/>
    <w:rsid w:val="00094FCD"/>
    <w:rsid w:val="00095386"/>
    <w:rsid w:val="000A173E"/>
    <w:rsid w:val="000A66A1"/>
    <w:rsid w:val="000B4990"/>
    <w:rsid w:val="000B6BC6"/>
    <w:rsid w:val="000B6EF1"/>
    <w:rsid w:val="000C08B7"/>
    <w:rsid w:val="000C4034"/>
    <w:rsid w:val="000C40B8"/>
    <w:rsid w:val="000C7486"/>
    <w:rsid w:val="000D69C3"/>
    <w:rsid w:val="000E2562"/>
    <w:rsid w:val="000E35FF"/>
    <w:rsid w:val="000E4989"/>
    <w:rsid w:val="000E69AF"/>
    <w:rsid w:val="000F0AD7"/>
    <w:rsid w:val="00101095"/>
    <w:rsid w:val="001011B1"/>
    <w:rsid w:val="0010133C"/>
    <w:rsid w:val="0010146D"/>
    <w:rsid w:val="00101B45"/>
    <w:rsid w:val="00102A56"/>
    <w:rsid w:val="00103A69"/>
    <w:rsid w:val="00107364"/>
    <w:rsid w:val="00121414"/>
    <w:rsid w:val="00123AB7"/>
    <w:rsid w:val="00124F66"/>
    <w:rsid w:val="001260C0"/>
    <w:rsid w:val="001274B3"/>
    <w:rsid w:val="001348CD"/>
    <w:rsid w:val="00136544"/>
    <w:rsid w:val="001420C1"/>
    <w:rsid w:val="00147C96"/>
    <w:rsid w:val="0015611D"/>
    <w:rsid w:val="0015669C"/>
    <w:rsid w:val="001622F8"/>
    <w:rsid w:val="00167041"/>
    <w:rsid w:val="00172A27"/>
    <w:rsid w:val="0017505C"/>
    <w:rsid w:val="001765D3"/>
    <w:rsid w:val="0018013F"/>
    <w:rsid w:val="00180907"/>
    <w:rsid w:val="00192ADB"/>
    <w:rsid w:val="00193160"/>
    <w:rsid w:val="00196C1D"/>
    <w:rsid w:val="00197D2F"/>
    <w:rsid w:val="001A046E"/>
    <w:rsid w:val="001A23FC"/>
    <w:rsid w:val="001A25DC"/>
    <w:rsid w:val="001A39D8"/>
    <w:rsid w:val="001A4778"/>
    <w:rsid w:val="001B6AD2"/>
    <w:rsid w:val="001C546E"/>
    <w:rsid w:val="001E5534"/>
    <w:rsid w:val="001F45DF"/>
    <w:rsid w:val="001F4BE6"/>
    <w:rsid w:val="001F6D1F"/>
    <w:rsid w:val="0020607B"/>
    <w:rsid w:val="00207616"/>
    <w:rsid w:val="00210E09"/>
    <w:rsid w:val="002302AC"/>
    <w:rsid w:val="00230817"/>
    <w:rsid w:val="00230EFF"/>
    <w:rsid w:val="00234054"/>
    <w:rsid w:val="00234C52"/>
    <w:rsid w:val="0023602C"/>
    <w:rsid w:val="002369F0"/>
    <w:rsid w:val="00255B75"/>
    <w:rsid w:val="00261F52"/>
    <w:rsid w:val="002641B6"/>
    <w:rsid w:val="00266A8D"/>
    <w:rsid w:val="0027194D"/>
    <w:rsid w:val="0027322E"/>
    <w:rsid w:val="0027458A"/>
    <w:rsid w:val="0028044E"/>
    <w:rsid w:val="002810EA"/>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7686"/>
    <w:rsid w:val="002D3259"/>
    <w:rsid w:val="002D32E7"/>
    <w:rsid w:val="002D6BE4"/>
    <w:rsid w:val="002E1360"/>
    <w:rsid w:val="002E4380"/>
    <w:rsid w:val="0031552D"/>
    <w:rsid w:val="00317A07"/>
    <w:rsid w:val="003214E0"/>
    <w:rsid w:val="003244AB"/>
    <w:rsid w:val="00333F74"/>
    <w:rsid w:val="003363DB"/>
    <w:rsid w:val="00337DB7"/>
    <w:rsid w:val="00341240"/>
    <w:rsid w:val="00341FED"/>
    <w:rsid w:val="00350A94"/>
    <w:rsid w:val="00353A42"/>
    <w:rsid w:val="0035729E"/>
    <w:rsid w:val="00365B70"/>
    <w:rsid w:val="00366A86"/>
    <w:rsid w:val="00372CD6"/>
    <w:rsid w:val="00387A28"/>
    <w:rsid w:val="00387F22"/>
    <w:rsid w:val="00390971"/>
    <w:rsid w:val="003916F5"/>
    <w:rsid w:val="003918B1"/>
    <w:rsid w:val="00395EC2"/>
    <w:rsid w:val="00395F7E"/>
    <w:rsid w:val="003A5DE7"/>
    <w:rsid w:val="003A7A2B"/>
    <w:rsid w:val="003C044C"/>
    <w:rsid w:val="003C1392"/>
    <w:rsid w:val="003C1457"/>
    <w:rsid w:val="003C2E78"/>
    <w:rsid w:val="003D04E8"/>
    <w:rsid w:val="003D27F2"/>
    <w:rsid w:val="003D7A23"/>
    <w:rsid w:val="003E037E"/>
    <w:rsid w:val="003E3DDD"/>
    <w:rsid w:val="003E49BA"/>
    <w:rsid w:val="003F32AE"/>
    <w:rsid w:val="00400CA2"/>
    <w:rsid w:val="004025B9"/>
    <w:rsid w:val="004027B3"/>
    <w:rsid w:val="00404084"/>
    <w:rsid w:val="00411064"/>
    <w:rsid w:val="00415D6E"/>
    <w:rsid w:val="00421E67"/>
    <w:rsid w:val="004275DA"/>
    <w:rsid w:val="0042766B"/>
    <w:rsid w:val="00431251"/>
    <w:rsid w:val="004317EA"/>
    <w:rsid w:val="004329D7"/>
    <w:rsid w:val="00432EA3"/>
    <w:rsid w:val="0043334F"/>
    <w:rsid w:val="00436040"/>
    <w:rsid w:val="00437C83"/>
    <w:rsid w:val="00440A12"/>
    <w:rsid w:val="004418A5"/>
    <w:rsid w:val="0044635F"/>
    <w:rsid w:val="00446976"/>
    <w:rsid w:val="00450327"/>
    <w:rsid w:val="0045397B"/>
    <w:rsid w:val="00454B0B"/>
    <w:rsid w:val="00457089"/>
    <w:rsid w:val="00466D2A"/>
    <w:rsid w:val="00471BC5"/>
    <w:rsid w:val="00476EB0"/>
    <w:rsid w:val="0048279B"/>
    <w:rsid w:val="004B1D9C"/>
    <w:rsid w:val="004B4930"/>
    <w:rsid w:val="004C36A7"/>
    <w:rsid w:val="004C3F5D"/>
    <w:rsid w:val="004D2AFB"/>
    <w:rsid w:val="004D2F5D"/>
    <w:rsid w:val="004D3BAB"/>
    <w:rsid w:val="004E23BB"/>
    <w:rsid w:val="004E2CBF"/>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72AC6"/>
    <w:rsid w:val="0057645E"/>
    <w:rsid w:val="00581DD0"/>
    <w:rsid w:val="005820AD"/>
    <w:rsid w:val="00587DB9"/>
    <w:rsid w:val="005A231E"/>
    <w:rsid w:val="005A35E6"/>
    <w:rsid w:val="005A3C18"/>
    <w:rsid w:val="005B0491"/>
    <w:rsid w:val="005B23A4"/>
    <w:rsid w:val="005B60E6"/>
    <w:rsid w:val="005C1336"/>
    <w:rsid w:val="005C3897"/>
    <w:rsid w:val="005C5BB9"/>
    <w:rsid w:val="005D1785"/>
    <w:rsid w:val="005E2078"/>
    <w:rsid w:val="005E4C59"/>
    <w:rsid w:val="005F2429"/>
    <w:rsid w:val="005F547C"/>
    <w:rsid w:val="005F5957"/>
    <w:rsid w:val="0060128B"/>
    <w:rsid w:val="00606963"/>
    <w:rsid w:val="00612150"/>
    <w:rsid w:val="00612BE0"/>
    <w:rsid w:val="0061444E"/>
    <w:rsid w:val="006214B0"/>
    <w:rsid w:val="0062779B"/>
    <w:rsid w:val="00632AC8"/>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B049A"/>
    <w:rsid w:val="006B1FBB"/>
    <w:rsid w:val="006B300C"/>
    <w:rsid w:val="006B5FFA"/>
    <w:rsid w:val="006C0917"/>
    <w:rsid w:val="006C60CD"/>
    <w:rsid w:val="006C6DF6"/>
    <w:rsid w:val="006E088D"/>
    <w:rsid w:val="006F29C3"/>
    <w:rsid w:val="006F3728"/>
    <w:rsid w:val="006F40CF"/>
    <w:rsid w:val="00700313"/>
    <w:rsid w:val="00704ACB"/>
    <w:rsid w:val="00710E9D"/>
    <w:rsid w:val="007155AE"/>
    <w:rsid w:val="00715913"/>
    <w:rsid w:val="007239BB"/>
    <w:rsid w:val="007309D6"/>
    <w:rsid w:val="00731EA0"/>
    <w:rsid w:val="00732D04"/>
    <w:rsid w:val="0073564E"/>
    <w:rsid w:val="0074436D"/>
    <w:rsid w:val="00746508"/>
    <w:rsid w:val="00751481"/>
    <w:rsid w:val="00761EC8"/>
    <w:rsid w:val="007672C3"/>
    <w:rsid w:val="0078458D"/>
    <w:rsid w:val="0079433E"/>
    <w:rsid w:val="007A5B4D"/>
    <w:rsid w:val="007B55E3"/>
    <w:rsid w:val="007B5A38"/>
    <w:rsid w:val="007C1A3B"/>
    <w:rsid w:val="007D0929"/>
    <w:rsid w:val="007D4581"/>
    <w:rsid w:val="007E3CC7"/>
    <w:rsid w:val="007E623C"/>
    <w:rsid w:val="007F7EA3"/>
    <w:rsid w:val="008008F9"/>
    <w:rsid w:val="0080320A"/>
    <w:rsid w:val="0082618B"/>
    <w:rsid w:val="00827D37"/>
    <w:rsid w:val="008300EA"/>
    <w:rsid w:val="00830C9D"/>
    <w:rsid w:val="008339BC"/>
    <w:rsid w:val="00835DE9"/>
    <w:rsid w:val="008430B1"/>
    <w:rsid w:val="00844BBB"/>
    <w:rsid w:val="008474A9"/>
    <w:rsid w:val="00847636"/>
    <w:rsid w:val="00855676"/>
    <w:rsid w:val="00855D18"/>
    <w:rsid w:val="00857DBB"/>
    <w:rsid w:val="00862C16"/>
    <w:rsid w:val="00863674"/>
    <w:rsid w:val="0087039D"/>
    <w:rsid w:val="00870889"/>
    <w:rsid w:val="00870BC8"/>
    <w:rsid w:val="008724FD"/>
    <w:rsid w:val="00877695"/>
    <w:rsid w:val="008779C4"/>
    <w:rsid w:val="008860FC"/>
    <w:rsid w:val="00890A91"/>
    <w:rsid w:val="00891199"/>
    <w:rsid w:val="008926B3"/>
    <w:rsid w:val="008A3E4D"/>
    <w:rsid w:val="008A61A1"/>
    <w:rsid w:val="008B1E08"/>
    <w:rsid w:val="008B286D"/>
    <w:rsid w:val="008B4D63"/>
    <w:rsid w:val="008B663E"/>
    <w:rsid w:val="008B7F76"/>
    <w:rsid w:val="008C141A"/>
    <w:rsid w:val="008C2570"/>
    <w:rsid w:val="008C3DE8"/>
    <w:rsid w:val="008C5802"/>
    <w:rsid w:val="008C6E42"/>
    <w:rsid w:val="008C7400"/>
    <w:rsid w:val="008D4BAD"/>
    <w:rsid w:val="008E79C4"/>
    <w:rsid w:val="008F1760"/>
    <w:rsid w:val="008F1D29"/>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2B5F"/>
    <w:rsid w:val="00976687"/>
    <w:rsid w:val="0097785F"/>
    <w:rsid w:val="00981BF1"/>
    <w:rsid w:val="00981DEE"/>
    <w:rsid w:val="009822F9"/>
    <w:rsid w:val="00986155"/>
    <w:rsid w:val="009912C7"/>
    <w:rsid w:val="00993C6D"/>
    <w:rsid w:val="009A19FE"/>
    <w:rsid w:val="009A25CA"/>
    <w:rsid w:val="009A518A"/>
    <w:rsid w:val="009B03F6"/>
    <w:rsid w:val="009B7A25"/>
    <w:rsid w:val="009C1ACC"/>
    <w:rsid w:val="009C4B51"/>
    <w:rsid w:val="009D0547"/>
    <w:rsid w:val="009D0E36"/>
    <w:rsid w:val="009D4395"/>
    <w:rsid w:val="009E3119"/>
    <w:rsid w:val="009F4F21"/>
    <w:rsid w:val="009F5135"/>
    <w:rsid w:val="009F63C6"/>
    <w:rsid w:val="00A1190C"/>
    <w:rsid w:val="00A1474F"/>
    <w:rsid w:val="00A16CAC"/>
    <w:rsid w:val="00A2007A"/>
    <w:rsid w:val="00A2700E"/>
    <w:rsid w:val="00A30309"/>
    <w:rsid w:val="00A32C0A"/>
    <w:rsid w:val="00A3395B"/>
    <w:rsid w:val="00A34063"/>
    <w:rsid w:val="00A34ABA"/>
    <w:rsid w:val="00A43DDC"/>
    <w:rsid w:val="00A47294"/>
    <w:rsid w:val="00A50A01"/>
    <w:rsid w:val="00A62210"/>
    <w:rsid w:val="00A6703A"/>
    <w:rsid w:val="00A67806"/>
    <w:rsid w:val="00A67ADD"/>
    <w:rsid w:val="00A71C50"/>
    <w:rsid w:val="00A72A7C"/>
    <w:rsid w:val="00A744A4"/>
    <w:rsid w:val="00A75F7F"/>
    <w:rsid w:val="00A800B2"/>
    <w:rsid w:val="00A817B1"/>
    <w:rsid w:val="00A86720"/>
    <w:rsid w:val="00A91DC6"/>
    <w:rsid w:val="00A93584"/>
    <w:rsid w:val="00A971B4"/>
    <w:rsid w:val="00AC0112"/>
    <w:rsid w:val="00AC2460"/>
    <w:rsid w:val="00AD6847"/>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5E5E"/>
    <w:rsid w:val="00BD17FC"/>
    <w:rsid w:val="00BD3F0B"/>
    <w:rsid w:val="00BD4F29"/>
    <w:rsid w:val="00BE30DE"/>
    <w:rsid w:val="00BE58B8"/>
    <w:rsid w:val="00BE7977"/>
    <w:rsid w:val="00BF498D"/>
    <w:rsid w:val="00C00AC8"/>
    <w:rsid w:val="00C01C8B"/>
    <w:rsid w:val="00C022C3"/>
    <w:rsid w:val="00C04121"/>
    <w:rsid w:val="00C2467A"/>
    <w:rsid w:val="00C27A64"/>
    <w:rsid w:val="00C27E56"/>
    <w:rsid w:val="00C3432E"/>
    <w:rsid w:val="00C40424"/>
    <w:rsid w:val="00C4135C"/>
    <w:rsid w:val="00C43937"/>
    <w:rsid w:val="00C47136"/>
    <w:rsid w:val="00C474AD"/>
    <w:rsid w:val="00C54E68"/>
    <w:rsid w:val="00C610D7"/>
    <w:rsid w:val="00C66125"/>
    <w:rsid w:val="00C7354C"/>
    <w:rsid w:val="00C75982"/>
    <w:rsid w:val="00C762F5"/>
    <w:rsid w:val="00C92A06"/>
    <w:rsid w:val="00C96380"/>
    <w:rsid w:val="00CA039C"/>
    <w:rsid w:val="00CA3B4F"/>
    <w:rsid w:val="00CA4D80"/>
    <w:rsid w:val="00CB4F8F"/>
    <w:rsid w:val="00CC0F2C"/>
    <w:rsid w:val="00CC332A"/>
    <w:rsid w:val="00CD50AA"/>
    <w:rsid w:val="00CF0141"/>
    <w:rsid w:val="00CF41B9"/>
    <w:rsid w:val="00CF7E1D"/>
    <w:rsid w:val="00D05709"/>
    <w:rsid w:val="00D12413"/>
    <w:rsid w:val="00D253D6"/>
    <w:rsid w:val="00D3441A"/>
    <w:rsid w:val="00D44320"/>
    <w:rsid w:val="00D51EED"/>
    <w:rsid w:val="00D52B79"/>
    <w:rsid w:val="00D54CAF"/>
    <w:rsid w:val="00D555A5"/>
    <w:rsid w:val="00D565F4"/>
    <w:rsid w:val="00D61F0E"/>
    <w:rsid w:val="00D70453"/>
    <w:rsid w:val="00D71777"/>
    <w:rsid w:val="00D75008"/>
    <w:rsid w:val="00D75672"/>
    <w:rsid w:val="00D81CB7"/>
    <w:rsid w:val="00D91CDA"/>
    <w:rsid w:val="00D922CA"/>
    <w:rsid w:val="00D938CF"/>
    <w:rsid w:val="00D96392"/>
    <w:rsid w:val="00DA05F6"/>
    <w:rsid w:val="00DB0A0F"/>
    <w:rsid w:val="00DB3417"/>
    <w:rsid w:val="00DB4628"/>
    <w:rsid w:val="00DC231D"/>
    <w:rsid w:val="00DD6F2D"/>
    <w:rsid w:val="00DE41E2"/>
    <w:rsid w:val="00DE6281"/>
    <w:rsid w:val="00DF07A9"/>
    <w:rsid w:val="00DF4C69"/>
    <w:rsid w:val="00DF7DBC"/>
    <w:rsid w:val="00E006BD"/>
    <w:rsid w:val="00E05109"/>
    <w:rsid w:val="00E13D2C"/>
    <w:rsid w:val="00E22D24"/>
    <w:rsid w:val="00E2507A"/>
    <w:rsid w:val="00E27352"/>
    <w:rsid w:val="00E34C0E"/>
    <w:rsid w:val="00E400F5"/>
    <w:rsid w:val="00E4503A"/>
    <w:rsid w:val="00E4538A"/>
    <w:rsid w:val="00E4713E"/>
    <w:rsid w:val="00E471C8"/>
    <w:rsid w:val="00E56274"/>
    <w:rsid w:val="00E6099C"/>
    <w:rsid w:val="00E64FB2"/>
    <w:rsid w:val="00E66298"/>
    <w:rsid w:val="00E6781D"/>
    <w:rsid w:val="00E7051F"/>
    <w:rsid w:val="00E72238"/>
    <w:rsid w:val="00E730D8"/>
    <w:rsid w:val="00E77F92"/>
    <w:rsid w:val="00E81126"/>
    <w:rsid w:val="00E81B49"/>
    <w:rsid w:val="00E937B6"/>
    <w:rsid w:val="00E94EF5"/>
    <w:rsid w:val="00E956A2"/>
    <w:rsid w:val="00E979B9"/>
    <w:rsid w:val="00EB7010"/>
    <w:rsid w:val="00EC0F50"/>
    <w:rsid w:val="00ED563F"/>
    <w:rsid w:val="00EE49AA"/>
    <w:rsid w:val="00EE4A52"/>
    <w:rsid w:val="00EE4B10"/>
    <w:rsid w:val="00EE4F43"/>
    <w:rsid w:val="00EE70C5"/>
    <w:rsid w:val="00EF2E41"/>
    <w:rsid w:val="00EF7E56"/>
    <w:rsid w:val="00F1043B"/>
    <w:rsid w:val="00F15ABC"/>
    <w:rsid w:val="00F16976"/>
    <w:rsid w:val="00F23D3C"/>
    <w:rsid w:val="00F258BD"/>
    <w:rsid w:val="00F3705B"/>
    <w:rsid w:val="00F410EB"/>
    <w:rsid w:val="00F414E1"/>
    <w:rsid w:val="00F43995"/>
    <w:rsid w:val="00F47BF3"/>
    <w:rsid w:val="00F50D50"/>
    <w:rsid w:val="00F51CA6"/>
    <w:rsid w:val="00F525BC"/>
    <w:rsid w:val="00F52F85"/>
    <w:rsid w:val="00F60499"/>
    <w:rsid w:val="00F62DFF"/>
    <w:rsid w:val="00F64069"/>
    <w:rsid w:val="00F67996"/>
    <w:rsid w:val="00F73737"/>
    <w:rsid w:val="00F744C1"/>
    <w:rsid w:val="00F775D2"/>
    <w:rsid w:val="00F828F1"/>
    <w:rsid w:val="00F85C49"/>
    <w:rsid w:val="00F8670D"/>
    <w:rsid w:val="00F9218E"/>
    <w:rsid w:val="00F95C7E"/>
    <w:rsid w:val="00FA1BB6"/>
    <w:rsid w:val="00FA3047"/>
    <w:rsid w:val="00FA7B3B"/>
    <w:rsid w:val="00FB0118"/>
    <w:rsid w:val="00FC0CFF"/>
    <w:rsid w:val="00FD0A56"/>
    <w:rsid w:val="00FD4AAA"/>
    <w:rsid w:val="00FD5E89"/>
    <w:rsid w:val="00FE4B63"/>
    <w:rsid w:val="00FE7D25"/>
    <w:rsid w:val="00FF3F2C"/>
    <w:rsid w:val="00FF4916"/>
    <w:rsid w:val="00FF712F"/>
    <w:rsid w:val="02436D22"/>
    <w:rsid w:val="041C5FDC"/>
    <w:rsid w:val="044F1C92"/>
    <w:rsid w:val="04584393"/>
    <w:rsid w:val="04C91CC0"/>
    <w:rsid w:val="05740EF6"/>
    <w:rsid w:val="07485B1A"/>
    <w:rsid w:val="074A41E6"/>
    <w:rsid w:val="08B97482"/>
    <w:rsid w:val="08E94A62"/>
    <w:rsid w:val="0A557CB2"/>
    <w:rsid w:val="0B297CB1"/>
    <w:rsid w:val="0B2B5EE4"/>
    <w:rsid w:val="0B5033FF"/>
    <w:rsid w:val="0DD23306"/>
    <w:rsid w:val="0E49715C"/>
    <w:rsid w:val="0E6115F1"/>
    <w:rsid w:val="0FED69E8"/>
    <w:rsid w:val="14533F6B"/>
    <w:rsid w:val="14C522AD"/>
    <w:rsid w:val="17B15B2A"/>
    <w:rsid w:val="18087C90"/>
    <w:rsid w:val="18AF283D"/>
    <w:rsid w:val="1C4B230A"/>
    <w:rsid w:val="1CF80F68"/>
    <w:rsid w:val="1F8E223E"/>
    <w:rsid w:val="20BA38B1"/>
    <w:rsid w:val="2130431C"/>
    <w:rsid w:val="216D4DCA"/>
    <w:rsid w:val="21AC5652"/>
    <w:rsid w:val="21BA73BC"/>
    <w:rsid w:val="22CF3416"/>
    <w:rsid w:val="26B9799F"/>
    <w:rsid w:val="26CF5E54"/>
    <w:rsid w:val="279B264D"/>
    <w:rsid w:val="28A01609"/>
    <w:rsid w:val="2A2F5C6B"/>
    <w:rsid w:val="369F57C7"/>
    <w:rsid w:val="37420071"/>
    <w:rsid w:val="37B62B80"/>
    <w:rsid w:val="39940F15"/>
    <w:rsid w:val="3E8C53CE"/>
    <w:rsid w:val="3EC92749"/>
    <w:rsid w:val="3F076864"/>
    <w:rsid w:val="446C08C6"/>
    <w:rsid w:val="498A5E58"/>
    <w:rsid w:val="4BAF4D5F"/>
    <w:rsid w:val="4BE5125B"/>
    <w:rsid w:val="4D13530E"/>
    <w:rsid w:val="4EBC07C7"/>
    <w:rsid w:val="4FE11E2A"/>
    <w:rsid w:val="513421F4"/>
    <w:rsid w:val="51510F9E"/>
    <w:rsid w:val="521F58C2"/>
    <w:rsid w:val="53F37B96"/>
    <w:rsid w:val="54704E08"/>
    <w:rsid w:val="55D3776B"/>
    <w:rsid w:val="565949C9"/>
    <w:rsid w:val="5747516B"/>
    <w:rsid w:val="57542126"/>
    <w:rsid w:val="59502925"/>
    <w:rsid w:val="5DE855D4"/>
    <w:rsid w:val="5EB13F3F"/>
    <w:rsid w:val="5F2425F2"/>
    <w:rsid w:val="615A0BE7"/>
    <w:rsid w:val="625A6CFD"/>
    <w:rsid w:val="62632133"/>
    <w:rsid w:val="645E5214"/>
    <w:rsid w:val="674C4C18"/>
    <w:rsid w:val="686960CE"/>
    <w:rsid w:val="68B308E1"/>
    <w:rsid w:val="690D4EF1"/>
    <w:rsid w:val="699A2C9B"/>
    <w:rsid w:val="6A9F09C1"/>
    <w:rsid w:val="6C0D6AED"/>
    <w:rsid w:val="6CA3501B"/>
    <w:rsid w:val="701A2FE0"/>
    <w:rsid w:val="70EF34C5"/>
    <w:rsid w:val="712F66DE"/>
    <w:rsid w:val="713E22D1"/>
    <w:rsid w:val="72754D3D"/>
    <w:rsid w:val="72F77F58"/>
    <w:rsid w:val="7397403C"/>
    <w:rsid w:val="73977F07"/>
    <w:rsid w:val="743E7920"/>
    <w:rsid w:val="766178C9"/>
    <w:rsid w:val="76A07544"/>
    <w:rsid w:val="77A8277F"/>
    <w:rsid w:val="7A875A03"/>
    <w:rsid w:val="7B170FA4"/>
    <w:rsid w:val="7B8455AD"/>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after="270"/>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autoRedefine/>
    <w:semiHidden/>
    <w:unhideWhenUsed/>
    <w:qFormat/>
    <w:uiPriority w:val="99"/>
    <w:rPr>
      <w:color w:val="800080"/>
      <w:u w:val="single"/>
    </w:rPr>
  </w:style>
  <w:style w:type="character" w:styleId="11">
    <w:name w:val="Hyperlink"/>
    <w:basedOn w:val="8"/>
    <w:unhideWhenUsed/>
    <w:qFormat/>
    <w:uiPriority w:val="99"/>
    <w:rPr>
      <w:color w:val="0000FF" w:themeColor="hyperlink"/>
      <w:u w:val="single"/>
    </w:rPr>
  </w:style>
  <w:style w:type="character" w:customStyle="1" w:styleId="12">
    <w:name w:val="标题 2 字符"/>
    <w:basedOn w:val="8"/>
    <w:link w:val="2"/>
    <w:autoRedefine/>
    <w:qFormat/>
    <w:uiPriority w:val="0"/>
    <w:rPr>
      <w:rFonts w:ascii="Arial" w:hAnsi="Arial" w:eastAsia="黑体" w:cs="Times New Roman"/>
      <w:b/>
      <w:kern w:val="0"/>
      <w:sz w:val="30"/>
      <w:szCs w:val="20"/>
    </w:rPr>
  </w:style>
  <w:style w:type="character" w:customStyle="1" w:styleId="13">
    <w:name w:val="页脚 字符"/>
    <w:basedOn w:val="8"/>
    <w:link w:val="4"/>
    <w:autoRedefine/>
    <w:qFormat/>
    <w:uiPriority w:val="99"/>
    <w:rPr>
      <w:sz w:val="18"/>
      <w:szCs w:val="18"/>
    </w:rPr>
  </w:style>
  <w:style w:type="character" w:customStyle="1" w:styleId="14">
    <w:name w:val="页眉 字符"/>
    <w:basedOn w:val="8"/>
    <w:link w:val="5"/>
    <w:autoRedefine/>
    <w:qFormat/>
    <w:uiPriority w:val="99"/>
    <w:rPr>
      <w:sz w:val="18"/>
      <w:szCs w:val="18"/>
    </w:rPr>
  </w:style>
  <w:style w:type="paragraph" w:styleId="15">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公文正文"/>
    <w:basedOn w:val="1"/>
    <w:link w:val="17"/>
    <w:autoRedefine/>
    <w:qFormat/>
    <w:uiPriority w:val="0"/>
    <w:pPr>
      <w:ind w:firstLine="200" w:firstLineChars="200"/>
    </w:pPr>
    <w:rPr>
      <w:rFonts w:ascii="仿宋_GB2312" w:hAnsi="Univers Condensed" w:eastAsia="仿宋_GB2312" w:cs="Times New Roman"/>
      <w:sz w:val="32"/>
      <w:szCs w:val="32"/>
    </w:rPr>
  </w:style>
  <w:style w:type="character" w:customStyle="1" w:styleId="17">
    <w:name w:val="公文正文 Char"/>
    <w:link w:val="16"/>
    <w:autoRedefine/>
    <w:qFormat/>
    <w:uiPriority w:val="0"/>
    <w:rPr>
      <w:rFonts w:ascii="仿宋_GB2312" w:hAnsi="Univers Condensed" w:eastAsia="仿宋_GB2312" w:cs="Times New Roman"/>
      <w:sz w:val="32"/>
      <w:szCs w:val="32"/>
    </w:rPr>
  </w:style>
  <w:style w:type="paragraph" w:customStyle="1" w:styleId="18">
    <w:name w:val="w正文"/>
    <w:basedOn w:val="1"/>
    <w:link w:val="19"/>
    <w:autoRedefine/>
    <w:qFormat/>
    <w:uiPriority w:val="0"/>
    <w:pPr>
      <w:spacing w:line="360" w:lineRule="auto"/>
      <w:ind w:firstLine="200" w:firstLineChars="200"/>
    </w:pPr>
    <w:rPr>
      <w:rFonts w:ascii="Times New Roman" w:hAnsi="Times New Roman" w:eastAsia="仿宋" w:cs="Times New Roman"/>
      <w:sz w:val="24"/>
      <w:szCs w:val="24"/>
    </w:rPr>
  </w:style>
  <w:style w:type="character" w:customStyle="1" w:styleId="19">
    <w:name w:val="w正文 Char"/>
    <w:link w:val="18"/>
    <w:autoRedefine/>
    <w:qFormat/>
    <w:uiPriority w:val="0"/>
    <w:rPr>
      <w:rFonts w:ascii="Times New Roman" w:hAnsi="Times New Roman" w:eastAsia="仿宋" w:cs="Times New Roman"/>
      <w:sz w:val="24"/>
      <w:szCs w:val="24"/>
    </w:rPr>
  </w:style>
  <w:style w:type="character" w:customStyle="1" w:styleId="20">
    <w:name w:val="批注框文本 字符"/>
    <w:basedOn w:val="8"/>
    <w:link w:val="3"/>
    <w:autoRedefine/>
    <w:semiHidden/>
    <w:qFormat/>
    <w:uiPriority w:val="99"/>
    <w:rPr>
      <w:sz w:val="18"/>
      <w:szCs w:val="18"/>
    </w:rPr>
  </w:style>
  <w:style w:type="paragraph" w:customStyle="1" w:styleId="21">
    <w:name w:val="font1"/>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2">
    <w:name w:val="font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
    <w:name w:val="font8"/>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9">
    <w:name w:val="xl67"/>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5">
    <w:name w:val="xl7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6">
    <w:name w:val="xl74"/>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8">
    <w:name w:val="font9"/>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39">
    <w:name w:val="font10"/>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0">
    <w:name w:val="font11"/>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1">
    <w:name w:val="font12"/>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xl4659"/>
    <w:basedOn w:val="1"/>
    <w:autoRedefine/>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3">
    <w:name w:val="xl466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4">
    <w:name w:val="xl46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
    <w:name w:val="xl4662"/>
    <w:basedOn w:val="1"/>
    <w:autoRedefine/>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6">
    <w:name w:val="xl46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7">
    <w:name w:val="xl46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8">
    <w:name w:val="xl46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9">
    <w:name w:val="xl46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0">
    <w:name w:val="xl46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1">
    <w:name w:val="xl46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2">
    <w:name w:val="xl46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3">
    <w:name w:val="xl46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4">
    <w:name w:val="xl46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宋体" w:eastAsia="等线" w:cs="宋体"/>
      <w:kern w:val="0"/>
      <w:sz w:val="20"/>
      <w:szCs w:val="20"/>
    </w:rPr>
  </w:style>
  <w:style w:type="paragraph" w:customStyle="1" w:styleId="55">
    <w:name w:val="xl46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6">
    <w:name w:val="xl46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7">
    <w:name w:val="xl192"/>
    <w:basedOn w:val="1"/>
    <w:autoRedefine/>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58">
    <w:name w:val="xl193"/>
    <w:basedOn w:val="1"/>
    <w:autoRedefine/>
    <w:qFormat/>
    <w:uiPriority w:val="0"/>
    <w:pPr>
      <w:widowControl/>
      <w:spacing w:before="100" w:beforeAutospacing="1" w:after="100" w:afterAutospacing="1"/>
      <w:jc w:val="center"/>
    </w:pPr>
    <w:rPr>
      <w:rFonts w:ascii="等线" w:hAnsi="等线" w:eastAsia="等线" w:cs="宋体"/>
      <w:kern w:val="0"/>
      <w:sz w:val="20"/>
      <w:szCs w:val="20"/>
    </w:rPr>
  </w:style>
  <w:style w:type="paragraph" w:customStyle="1" w:styleId="59">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0">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1">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2">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3">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4">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styleId="6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6">
    <w:name w:val="font41"/>
    <w:basedOn w:val="8"/>
    <w:autoRedefine/>
    <w:qFormat/>
    <w:uiPriority w:val="0"/>
    <w:rPr>
      <w:rFonts w:hint="default" w:ascii="Times New Roman" w:hAnsi="Times New Roman" w:cs="Times New Roman"/>
      <w:color w:val="000000"/>
      <w:sz w:val="22"/>
      <w:szCs w:val="22"/>
      <w:u w:val="none"/>
    </w:rPr>
  </w:style>
  <w:style w:type="character" w:customStyle="1" w:styleId="67">
    <w:name w:val="font31"/>
    <w:basedOn w:val="8"/>
    <w:autoRedefine/>
    <w:qFormat/>
    <w:uiPriority w:val="0"/>
    <w:rPr>
      <w:rFonts w:hint="eastAsia" w:ascii="宋体" w:hAnsi="宋体" w:eastAsia="宋体" w:cs="宋体"/>
      <w:color w:val="000000"/>
      <w:sz w:val="22"/>
      <w:szCs w:val="22"/>
      <w:u w:val="none"/>
    </w:rPr>
  </w:style>
  <w:style w:type="paragraph" w:customStyle="1" w:styleId="68">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9">
    <w:name w:val="font61"/>
    <w:basedOn w:val="8"/>
    <w:autoRedefine/>
    <w:qFormat/>
    <w:uiPriority w:val="0"/>
    <w:rPr>
      <w:rFonts w:hint="eastAsia" w:ascii="等线" w:hAnsi="等线" w:eastAsia="等线" w:cs="等线"/>
      <w:color w:val="000000"/>
      <w:sz w:val="20"/>
      <w:szCs w:val="20"/>
      <w:u w:val="none"/>
    </w:rPr>
  </w:style>
  <w:style w:type="character" w:customStyle="1" w:styleId="70">
    <w:name w:val="font51"/>
    <w:basedOn w:val="8"/>
    <w:autoRedefine/>
    <w:qFormat/>
    <w:uiPriority w:val="0"/>
    <w:rPr>
      <w:rFonts w:hint="eastAsia" w:ascii="宋体" w:hAnsi="宋体" w:eastAsia="宋体" w:cs="宋体"/>
      <w:color w:val="000000"/>
      <w:sz w:val="20"/>
      <w:szCs w:val="20"/>
      <w:u w:val="none"/>
    </w:rPr>
  </w:style>
  <w:style w:type="character" w:customStyle="1" w:styleId="71">
    <w:name w:val="font01"/>
    <w:basedOn w:val="8"/>
    <w:autoRedefine/>
    <w:qFormat/>
    <w:uiPriority w:val="0"/>
    <w:rPr>
      <w:rFonts w:hint="eastAsia" w:ascii="宋体" w:hAnsi="宋体" w:eastAsia="宋体" w:cs="宋体"/>
      <w:color w:val="000000"/>
      <w:sz w:val="20"/>
      <w:szCs w:val="20"/>
      <w:u w:val="none"/>
    </w:rPr>
  </w:style>
  <w:style w:type="paragraph" w:customStyle="1" w:styleId="7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3">
    <w:name w:val="xl77"/>
    <w:basedOn w:val="1"/>
    <w:autoRedefine/>
    <w:qFormat/>
    <w:uiPriority w:val="0"/>
    <w:pPr>
      <w:widowControl/>
      <w:spacing w:before="100" w:beforeAutospacing="1" w:after="100" w:afterAutospacing="1"/>
      <w:jc w:val="center"/>
    </w:pPr>
    <w:rPr>
      <w:rFonts w:ascii="Times New Roman" w:hAnsi="Times New Roman" w:eastAsia="宋体" w:cs="Times New Roman"/>
      <w:kern w:val="0"/>
      <w:sz w:val="20"/>
      <w:szCs w:val="20"/>
    </w:rPr>
  </w:style>
  <w:style w:type="paragraph" w:customStyle="1" w:styleId="74">
    <w:name w:val="xl7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5">
    <w:name w:val="xl7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6">
    <w:name w:val="xl8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7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7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18"/>
      <w:szCs w:val="18"/>
    </w:rPr>
  </w:style>
  <w:style w:type="paragraph" w:customStyle="1" w:styleId="8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18"/>
      <w:szCs w:val="18"/>
    </w:rPr>
  </w:style>
  <w:style w:type="paragraph" w:customStyle="1" w:styleId="8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3362</Words>
  <Characters>3707</Characters>
  <Lines>28</Lines>
  <Paragraphs>7</Paragraphs>
  <TotalTime>0</TotalTime>
  <ScaleCrop>false</ScaleCrop>
  <LinksUpToDate>false</LinksUpToDate>
  <CharactersWithSpaces>3740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2020-05-11T02:14:00Z</dcterms:created>
  <dc:creator>0578</dc:creator>
  <cp:lastModifiedBy>测试</cp:lastModifiedBy>
  <cp:lastPrinted>2023-11-06T01:47:00Z</cp:lastPrinted>
  <dcterms:modified xsi:type="dcterms:W3CDTF">2024-01-08T07:00:11Z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97A670E3C1CF4AF9A06ED81C77290400</vt:lpwstr>
  </property>
</Properties>
</file>