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eastAsia="宋体"/>
          <w:color w:val="000000"/>
          <w:sz w:val="22"/>
        </w:rPr>
      </w:pPr>
      <w:r>
        <w:rPr>
          <w:rFonts w:hint="eastAsia" w:ascii="宋体" w:hAnsi="宋体" w:eastAsia="宋体"/>
          <w:color w:val="000000"/>
          <w:sz w:val="22"/>
        </w:rPr>
        <w:t>附件1：询价须知</w:t>
      </w:r>
    </w:p>
    <w:p>
      <w:pPr>
        <w:spacing w:line="360" w:lineRule="auto"/>
        <w:jc w:val="center"/>
        <w:rPr>
          <w:rFonts w:ascii="宋体" w:hAnsi="宋体"/>
          <w:b/>
          <w:color w:val="000000"/>
          <w:sz w:val="32"/>
        </w:rPr>
      </w:pPr>
      <w:r>
        <w:rPr>
          <w:rFonts w:hint="eastAsia" w:ascii="宋体" w:hAnsi="宋体"/>
          <w:b/>
          <w:color w:val="000000"/>
          <w:sz w:val="32"/>
        </w:rPr>
        <w:t>询价须知</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采购内容：</w:t>
      </w:r>
    </w:p>
    <w:tbl>
      <w:tblPr>
        <w:tblStyle w:val="5"/>
        <w:tblW w:w="9480" w:type="dxa"/>
        <w:jc w:val="center"/>
        <w:tblLayout w:type="autofit"/>
        <w:tblCellMar>
          <w:top w:w="0" w:type="dxa"/>
          <w:left w:w="108" w:type="dxa"/>
          <w:bottom w:w="0" w:type="dxa"/>
          <w:right w:w="108" w:type="dxa"/>
        </w:tblCellMar>
      </w:tblPr>
      <w:tblGrid>
        <w:gridCol w:w="841"/>
        <w:gridCol w:w="1559"/>
        <w:gridCol w:w="4111"/>
        <w:gridCol w:w="1417"/>
        <w:gridCol w:w="1552"/>
      </w:tblGrid>
      <w:tr>
        <w:tblPrEx>
          <w:tblCellMar>
            <w:top w:w="0" w:type="dxa"/>
            <w:left w:w="108" w:type="dxa"/>
            <w:bottom w:w="0" w:type="dxa"/>
            <w:right w:w="108" w:type="dxa"/>
          </w:tblCellMar>
        </w:tblPrEx>
        <w:trPr>
          <w:trHeight w:val="390" w:hRule="atLeast"/>
          <w:jc w:val="center"/>
        </w:trPr>
        <w:tc>
          <w:tcPr>
            <w:tcW w:w="84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ind w:firstLine="180" w:firstLineChars="1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物料编码</w:t>
            </w:r>
          </w:p>
        </w:tc>
        <w:tc>
          <w:tcPr>
            <w:tcW w:w="411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物料描述</w:t>
            </w:r>
          </w:p>
        </w:tc>
        <w:tc>
          <w:tcPr>
            <w:tcW w:w="1417"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1552"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r>
      <w:tr>
        <w:tblPrEx>
          <w:tblCellMar>
            <w:top w:w="0" w:type="dxa"/>
            <w:left w:w="108" w:type="dxa"/>
            <w:bottom w:w="0" w:type="dxa"/>
            <w:right w:w="108" w:type="dxa"/>
          </w:tblCellMar>
        </w:tblPrEx>
        <w:trPr>
          <w:trHeight w:val="390" w:hRule="atLeast"/>
          <w:jc w:val="center"/>
        </w:trPr>
        <w:tc>
          <w:tcPr>
            <w:tcW w:w="84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2000013199</w:t>
            </w:r>
          </w:p>
        </w:tc>
        <w:tc>
          <w:tcPr>
            <w:tcW w:w="4111"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电源模块\BTM(BT-3NSS002170-01)\Bombardier</w:t>
            </w:r>
          </w:p>
        </w:tc>
        <w:tc>
          <w:tcPr>
            <w:tcW w:w="1417"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PC</w:t>
            </w:r>
          </w:p>
        </w:tc>
        <w:tc>
          <w:tcPr>
            <w:tcW w:w="1552"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50</w:t>
            </w:r>
          </w:p>
        </w:tc>
      </w:tr>
    </w:tbl>
    <w:p>
      <w:pPr>
        <w:widowControl/>
        <w:spacing w:line="240" w:lineRule="auto"/>
        <w:jc w:val="left"/>
        <w:rPr>
          <w:rFonts w:ascii="宋体" w:hAnsi="宋体"/>
          <w:b/>
          <w:color w:val="000000"/>
        </w:rPr>
      </w:pP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技术要求、质量及售后服务要求</w:t>
      </w:r>
    </w:p>
    <w:p>
      <w:pPr>
        <w:pStyle w:val="10"/>
        <w:widowControl/>
        <w:spacing w:line="360" w:lineRule="auto"/>
        <w:ind w:firstLine="424" w:firstLineChars="202"/>
        <w:jc w:val="left"/>
        <w:rPr>
          <w:rFonts w:ascii="等线" w:hAnsi="等线" w:eastAsiaTheme="minorEastAsia" w:cstheme="minorBidi"/>
          <w:szCs w:val="21"/>
        </w:rPr>
      </w:pPr>
      <w:r>
        <w:rPr>
          <w:rFonts w:hint="eastAsia" w:ascii="等线" w:hAnsi="等线" w:eastAsiaTheme="minorEastAsia" w:cstheme="minorBidi"/>
          <w:szCs w:val="21"/>
        </w:rPr>
        <w:t>以上全部物料必须为原厂生产的全新、未拆封合格产品，品牌规格型号技术参数完全符合采购人要求，不接受任何偏差。</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报价要求</w:t>
      </w:r>
    </w:p>
    <w:p>
      <w:pPr>
        <w:widowControl/>
        <w:spacing w:line="360" w:lineRule="auto"/>
        <w:ind w:firstLine="420" w:firstLineChars="200"/>
        <w:jc w:val="left"/>
        <w:rPr>
          <w:rFonts w:ascii="宋体" w:hAnsi="宋体"/>
          <w:b/>
        </w:rPr>
      </w:pPr>
      <w:r>
        <w:rPr>
          <w:rFonts w:hint="eastAsia" w:ascii="宋体" w:hAnsi="宋体"/>
          <w:b/>
          <w:color w:val="000000"/>
        </w:rPr>
        <w:t>（1）</w:t>
      </w:r>
      <w:r>
        <w:rPr>
          <w:rFonts w:hint="eastAsia" w:ascii="宋体" w:hAnsi="宋体"/>
          <w:b/>
        </w:rPr>
        <w:t>供应商需对本项目全部物料进行报价。</w:t>
      </w:r>
    </w:p>
    <w:p>
      <w:pPr>
        <w:widowControl/>
        <w:spacing w:line="360" w:lineRule="auto"/>
        <w:ind w:firstLine="420" w:firstLineChars="200"/>
        <w:jc w:val="left"/>
        <w:rPr>
          <w:rFonts w:ascii="等线" w:hAnsi="等线"/>
          <w:szCs w:val="21"/>
        </w:rPr>
      </w:pPr>
      <w:r>
        <w:rPr>
          <w:rFonts w:hint="eastAsia" w:ascii="等线" w:hAnsi="等线"/>
          <w:szCs w:val="21"/>
        </w:rPr>
        <w:t>（</w:t>
      </w:r>
      <w:r>
        <w:rPr>
          <w:rFonts w:ascii="Times New Roman" w:hAnsi="Times New Roman"/>
          <w:bCs/>
          <w:kern w:val="0"/>
          <w:szCs w:val="21"/>
          <w:lang w:val="zh-CN"/>
        </w:rPr>
        <w:t>2</w:t>
      </w:r>
      <w:r>
        <w:rPr>
          <w:rFonts w:hint="eastAsia" w:ascii="等线" w:hAnsi="等线"/>
          <w:szCs w:val="21"/>
        </w:rPr>
        <w:t>）本项目均以</w:t>
      </w:r>
      <w:bookmarkStart w:id="1" w:name="_GoBack"/>
      <w:r>
        <w:rPr>
          <w:rFonts w:hint="eastAsia" w:ascii="等线" w:hAnsi="等线"/>
          <w:szCs w:val="21"/>
        </w:rPr>
        <w:t>人民币报价</w:t>
      </w:r>
      <w:bookmarkEnd w:id="1"/>
      <w:r>
        <w:rPr>
          <w:rFonts w:hint="eastAsia" w:ascii="等线" w:hAnsi="等线"/>
          <w:szCs w:val="21"/>
        </w:rPr>
        <w:t>。供应商报价应遵守《中华人民共和国价格法》，双方发生的所有费用均以人民币进行结算与支付；</w:t>
      </w:r>
    </w:p>
    <w:p>
      <w:pPr>
        <w:widowControl/>
        <w:spacing w:line="360" w:lineRule="auto"/>
        <w:ind w:firstLine="420" w:firstLineChars="200"/>
        <w:jc w:val="left"/>
        <w:rPr>
          <w:rFonts w:ascii="等线" w:hAnsi="等线"/>
          <w:szCs w:val="21"/>
        </w:rPr>
      </w:pPr>
      <w:bookmarkStart w:id="0" w:name="_Hlk117013315"/>
      <w:r>
        <w:rPr>
          <w:rFonts w:hint="eastAsia" w:ascii="等线" w:hAnsi="等线"/>
          <w:szCs w:val="21"/>
        </w:rPr>
        <w:t>（</w:t>
      </w:r>
      <w:r>
        <w:rPr>
          <w:rFonts w:ascii="Times New Roman" w:hAnsi="Times New Roman"/>
          <w:bCs/>
          <w:kern w:val="0"/>
          <w:szCs w:val="21"/>
          <w:lang w:val="zh-CN"/>
        </w:rPr>
        <w:t>3</w:t>
      </w:r>
      <w:r>
        <w:rPr>
          <w:rFonts w:hint="eastAsia" w:ascii="等线" w:hAnsi="等线"/>
          <w:szCs w:val="21"/>
        </w:rPr>
        <w:t>）</w:t>
      </w:r>
      <w:bookmarkEnd w:id="0"/>
      <w:r>
        <w:rPr>
          <w:rFonts w:hint="eastAsia" w:ascii="等线" w:hAnsi="等线"/>
          <w:szCs w:val="21"/>
        </w:rPr>
        <w:t>供应商报价应包含采购标的、运费、税金及履行本项目所必需的其他全部费用；</w:t>
      </w:r>
    </w:p>
    <w:p>
      <w:pPr>
        <w:widowControl/>
        <w:spacing w:line="360" w:lineRule="auto"/>
        <w:ind w:firstLine="420" w:firstLineChars="200"/>
        <w:jc w:val="left"/>
        <w:rPr>
          <w:rFonts w:ascii="宋体" w:hAnsi="宋体"/>
          <w:b/>
          <w:bCs/>
          <w:color w:val="000000"/>
        </w:rPr>
      </w:pPr>
      <w:r>
        <w:rPr>
          <w:rFonts w:hint="eastAsia" w:ascii="等线" w:hAnsi="等线"/>
          <w:szCs w:val="21"/>
        </w:rPr>
        <w:t>（</w:t>
      </w:r>
      <w:r>
        <w:rPr>
          <w:rFonts w:ascii="等线" w:hAnsi="等线"/>
          <w:szCs w:val="21"/>
        </w:rPr>
        <w:t>4</w:t>
      </w:r>
      <w:r>
        <w:rPr>
          <w:rFonts w:hint="eastAsia" w:ascii="等线" w:hAnsi="等线"/>
          <w:szCs w:val="21"/>
        </w:rPr>
        <w:t>）</w:t>
      </w:r>
      <w:r>
        <w:rPr>
          <w:rFonts w:hint="eastAsia" w:ascii="宋体" w:hAnsi="宋体"/>
          <w:b/>
          <w:bCs/>
          <w:color w:val="000000"/>
        </w:rPr>
        <w:t>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widowControl/>
        <w:spacing w:line="360" w:lineRule="auto"/>
        <w:ind w:firstLine="420" w:firstLineChars="200"/>
        <w:jc w:val="left"/>
        <w:rPr>
          <w:rFonts w:ascii="等线" w:hAnsi="等线"/>
          <w:szCs w:val="21"/>
        </w:rPr>
      </w:pPr>
      <w:r>
        <w:rPr>
          <w:rFonts w:hint="eastAsia" w:ascii="等线" w:hAnsi="等线"/>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line="360" w:lineRule="auto"/>
        <w:ind w:firstLine="420" w:firstLineChars="200"/>
        <w:rPr>
          <w:rFonts w:ascii="等线" w:hAnsi="等线"/>
          <w:szCs w:val="21"/>
        </w:rPr>
      </w:pPr>
      <w:r>
        <w:rPr>
          <w:rFonts w:hint="eastAsia" w:ascii="等线" w:hAnsi="等线"/>
          <w:szCs w:val="21"/>
        </w:rPr>
        <w:t>（</w:t>
      </w:r>
      <w:r>
        <w:rPr>
          <w:rFonts w:ascii="等线" w:hAnsi="等线"/>
          <w:szCs w:val="21"/>
        </w:rPr>
        <w:t>6</w:t>
      </w:r>
      <w:r>
        <w:rPr>
          <w:rFonts w:hint="eastAsia" w:ascii="等线" w:hAnsi="等线"/>
          <w:szCs w:val="21"/>
        </w:rPr>
        <w:t>）</w:t>
      </w:r>
      <w:r>
        <w:rPr>
          <w:rFonts w:hint="eastAsia" w:ascii="宋体" w:hAnsi="宋体"/>
          <w:szCs w:val="21"/>
        </w:rPr>
        <w:t>当供应商最终报价超出采购人可以接受的价格时，</w:t>
      </w:r>
      <w:r>
        <w:rPr>
          <w:rFonts w:hint="eastAsia" w:ascii="等线" w:hAnsi="等线"/>
          <w:szCs w:val="21"/>
        </w:rPr>
        <w:t>谈判将终止。</w:t>
      </w:r>
    </w:p>
    <w:p>
      <w:pPr>
        <w:widowControl/>
        <w:spacing w:line="360" w:lineRule="auto"/>
        <w:ind w:firstLine="420" w:firstLineChars="200"/>
        <w:jc w:val="left"/>
        <w:rPr>
          <w:rFonts w:ascii="宋体" w:hAnsi="宋体"/>
          <w:b/>
          <w:bCs/>
          <w:color w:val="000000"/>
        </w:rPr>
      </w:pPr>
      <w:r>
        <w:rPr>
          <w:rFonts w:hint="eastAsia" w:ascii="宋体" w:hAnsi="宋体"/>
          <w:b/>
          <w:bCs/>
          <w:color w:val="000000"/>
        </w:rPr>
        <w:t>（</w:t>
      </w:r>
      <w:r>
        <w:rPr>
          <w:rFonts w:ascii="宋体" w:hAnsi="宋体"/>
          <w:b/>
          <w:bCs/>
          <w:color w:val="000000"/>
        </w:rPr>
        <w:t>7</w:t>
      </w:r>
      <w:r>
        <w:rPr>
          <w:rFonts w:hint="eastAsia" w:ascii="宋体" w:hAnsi="宋体"/>
          <w:b/>
          <w:bCs/>
          <w:color w:val="000000"/>
        </w:rPr>
        <w:t>）供应商按采购内容数量报价，实际采购数量以采购人签订采购合同/采购订单数量为准。</w:t>
      </w:r>
    </w:p>
    <w:p>
      <w:pPr>
        <w:pStyle w:val="10"/>
        <w:widowControl/>
        <w:numPr>
          <w:ilvl w:val="0"/>
          <w:numId w:val="1"/>
        </w:numPr>
        <w:spacing w:line="360" w:lineRule="auto"/>
        <w:ind w:firstLineChars="0"/>
        <w:jc w:val="left"/>
        <w:rPr>
          <w:rFonts w:ascii="宋体" w:hAnsi="宋体"/>
          <w:szCs w:val="21"/>
        </w:rPr>
      </w:pPr>
      <w:r>
        <w:rPr>
          <w:rFonts w:hint="eastAsia"/>
          <w:b/>
          <w:szCs w:val="21"/>
        </w:rPr>
        <w:t>评审小组</w:t>
      </w:r>
    </w:p>
    <w:p>
      <w:pPr>
        <w:pStyle w:val="10"/>
        <w:widowControl/>
        <w:spacing w:line="360" w:lineRule="auto"/>
        <w:ind w:firstLine="564" w:firstLineChars="269"/>
        <w:jc w:val="left"/>
        <w:rPr>
          <w:rFonts w:ascii="等线" w:hAnsi="等线" w:eastAsiaTheme="minorEastAsia" w:cstheme="minorBidi"/>
          <w:szCs w:val="21"/>
        </w:rPr>
      </w:pPr>
      <w:r>
        <w:rPr>
          <w:rFonts w:hint="eastAsia" w:ascii="等线" w:hAnsi="等线" w:eastAsiaTheme="minorEastAsia" w:cstheme="minorBidi"/>
          <w:szCs w:val="21"/>
        </w:rPr>
        <w:t>采购人依据项目的复杂程度和技术要求成立评审小组，评审小组由技术、商务、采购等方面的三人及以上的单数组成。</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评审办法</w:t>
      </w:r>
    </w:p>
    <w:tbl>
      <w:tblPr>
        <w:tblStyle w:val="5"/>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083"/>
        <w:gridCol w:w="2599"/>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条款号及名称</w:t>
            </w:r>
          </w:p>
        </w:tc>
        <w:tc>
          <w:tcPr>
            <w:tcW w:w="1373"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评审因素</w:t>
            </w:r>
          </w:p>
        </w:tc>
        <w:tc>
          <w:tcPr>
            <w:tcW w:w="2701"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vAlign w:val="center"/>
          </w:tcPr>
          <w:p>
            <w:pPr>
              <w:widowControl/>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572"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评审办法</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评审办法</w:t>
            </w:r>
          </w:p>
        </w:tc>
        <w:tc>
          <w:tcPr>
            <w:tcW w:w="2701" w:type="pct"/>
            <w:vAlign w:val="center"/>
          </w:tcPr>
          <w:p>
            <w:pPr>
              <w:widowControl/>
              <w:spacing w:line="276" w:lineRule="auto"/>
              <w:jc w:val="left"/>
              <w:rPr>
                <w:rFonts w:ascii="宋体" w:hAnsi="宋体" w:eastAsia="宋体" w:cs="宋体"/>
                <w:kern w:val="0"/>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eastAsia="宋体" w:cs="宋体"/>
                <w:kern w:val="0"/>
                <w:szCs w:val="21"/>
              </w:rPr>
              <w:t>最低价法</w:t>
            </w:r>
          </w:p>
          <w:p>
            <w:pPr>
              <w:widowControl/>
              <w:spacing w:line="276" w:lineRule="auto"/>
              <w:jc w:val="left"/>
              <w:rPr>
                <w:rFonts w:ascii="宋体" w:hAnsi="宋体" w:eastAsia="宋体" w:cs="宋体"/>
                <w:kern w:val="0"/>
                <w:szCs w:val="21"/>
              </w:rPr>
            </w:pPr>
            <w:r>
              <w:rPr>
                <w:rFonts w:ascii="宋体" w:hAnsi="宋体" w:cs="仿宋_GB2312"/>
                <w:szCs w:val="21"/>
              </w:rPr>
              <w:t>□</w:t>
            </w:r>
            <w:r>
              <w:rPr>
                <w:rFonts w:hint="eastAsia" w:ascii="宋体" w:hAnsi="宋体" w:eastAsia="宋体" w:cs="宋体"/>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572" w:type="pct"/>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形式评审标准</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供应商名称</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响应文件签字盖章</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响应文件格式</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响应文件的编制</w:t>
            </w:r>
          </w:p>
        </w:tc>
        <w:tc>
          <w:tcPr>
            <w:tcW w:w="2701" w:type="pct"/>
            <w:vAlign w:val="center"/>
          </w:tcPr>
          <w:p>
            <w:pPr>
              <w:widowControl/>
              <w:spacing w:line="276" w:lineRule="auto"/>
              <w:jc w:val="left"/>
              <w:rPr>
                <w:rFonts w:ascii="宋体" w:hAnsi="宋体" w:eastAsia="宋体" w:cs="宋体"/>
                <w:kern w:val="0"/>
                <w:szCs w:val="21"/>
              </w:rPr>
            </w:pPr>
            <w:r>
              <w:rPr>
                <w:rFonts w:hint="eastAsia" w:ascii="Times New Roman" w:hAnsi="Times New Roman" w:cs="Times New Roman"/>
                <w:szCs w:val="21"/>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响应文件份数</w:t>
            </w:r>
          </w:p>
        </w:tc>
        <w:tc>
          <w:tcPr>
            <w:tcW w:w="2701" w:type="pct"/>
            <w:vAlign w:val="center"/>
          </w:tcPr>
          <w:p>
            <w:pPr>
              <w:widowControl/>
              <w:spacing w:line="276" w:lineRule="auto"/>
              <w:jc w:val="left"/>
              <w:rPr>
                <w:rFonts w:ascii="宋体" w:hAnsi="宋体" w:eastAsia="宋体" w:cs="宋体"/>
                <w:kern w:val="0"/>
                <w:szCs w:val="21"/>
              </w:rPr>
            </w:pPr>
            <w:r>
              <w:rPr>
                <w:rFonts w:hint="eastAsia" w:ascii="Times New Roman" w:hAnsi="Times New Roman" w:cs="Times New Roman"/>
                <w:szCs w:val="21"/>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响应文件内容的完整性</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r>
              <w:rPr>
                <w:rFonts w:hint="eastAsia" w:cs="Times New Roman" w:asciiTheme="minorEastAsia" w:hAnsiTheme="minorEastAsia"/>
                <w:szCs w:val="21"/>
              </w:rPr>
              <w:t>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报价唯一</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572" w:type="pct"/>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资格评审标准</w:t>
            </w: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依法设立的证明材料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Times New Roman"/>
                <w:szCs w:val="21"/>
              </w:rPr>
              <w:t>供应商应提供市场监管部门或其他行政机关颁发的可以合法开展业务的执照、安全生产许可证或证书复印件，并</w:t>
            </w: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资质要求证明材料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cs="宋体"/>
                <w:color w:val="221E1F"/>
                <w:szCs w:val="21"/>
              </w:rPr>
              <w:t>供应商应提供相关资质证书副本的复印件，以证明供应商具有承担本项目要求的资质，</w:t>
            </w:r>
            <w:r>
              <w:rPr>
                <w:rFonts w:hint="eastAsia" w:ascii="宋体" w:hAnsi="宋体" w:eastAsia="宋体" w:cs="Times New Roman"/>
                <w:szCs w:val="21"/>
              </w:rPr>
              <w:t>并</w:t>
            </w: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财务要求证明材料</w:t>
            </w:r>
          </w:p>
        </w:tc>
        <w:tc>
          <w:tcPr>
            <w:tcW w:w="2701" w:type="pct"/>
            <w:vAlign w:val="center"/>
          </w:tcPr>
          <w:p>
            <w:pPr>
              <w:autoSpaceDE w:val="0"/>
              <w:autoSpaceDN w:val="0"/>
              <w:spacing w:line="276" w:lineRule="auto"/>
              <w:jc w:val="left"/>
              <w:rPr>
                <w:rFonts w:ascii="宋体" w:hAnsi="宋体" w:cs="宋体"/>
                <w:color w:val="221E1F"/>
                <w:szCs w:val="21"/>
              </w:rPr>
            </w:pPr>
            <w:r>
              <w:rPr>
                <w:rFonts w:ascii="宋体" w:hAnsi="宋体" w:cs="宋体"/>
                <w:color w:val="221E1F"/>
                <w:szCs w:val="21"/>
              </w:rPr>
              <w:t>□</w:t>
            </w:r>
            <w:r>
              <w:rPr>
                <w:rFonts w:hint="eastAsia" w:ascii="宋体" w:hAnsi="宋体" w:cs="宋体"/>
                <w:color w:val="221E1F"/>
                <w:szCs w:val="21"/>
              </w:rPr>
              <w:t>不适用</w:t>
            </w:r>
          </w:p>
          <w:p>
            <w:pPr>
              <w:autoSpaceDE w:val="0"/>
              <w:autoSpaceDN w:val="0"/>
              <w:spacing w:line="276" w:lineRule="auto"/>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适用。供应商应提供经会计师事务所或审计机构审计的近年财务会计报表复印件，包括资产负债表、现金流量表、利润表等。近年财务会计报表年份是指：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w:t>
            </w:r>
            <w:r>
              <w:rPr>
                <w:rFonts w:ascii="宋体" w:hAnsi="宋体" w:eastAsia="宋体" w:cs="宋体"/>
                <w:kern w:val="0"/>
                <w:szCs w:val="21"/>
                <w:u w:val="single"/>
              </w:rPr>
              <w:t>.</w:t>
            </w:r>
            <w:r>
              <w:rPr>
                <w:rFonts w:hint="eastAsia" w:ascii="宋体" w:hAnsi="宋体" w:eastAsia="宋体" w:cs="宋体"/>
                <w:kern w:val="0"/>
                <w:szCs w:val="21"/>
                <w:u w:val="single"/>
              </w:rPr>
              <w:t>供应商资格要求</w:t>
            </w:r>
            <w:r>
              <w:rPr>
                <w:rFonts w:ascii="宋体" w:hAnsi="宋体" w:cs="宋体"/>
                <w:color w:val="221E1F"/>
                <w:szCs w:val="21"/>
              </w:rPr>
              <w:t xml:space="preserve"> </w:t>
            </w:r>
            <w:r>
              <w:rPr>
                <w:rFonts w:hint="eastAsia" w:ascii="宋体" w:hAnsi="宋体" w:cs="宋体"/>
                <w:color w:val="221E1F"/>
                <w:szCs w:val="21"/>
              </w:rPr>
              <w:t>规定的年份</w:t>
            </w:r>
            <w:r>
              <w:rPr>
                <w:rFonts w:hint="eastAsia" w:ascii="Times New Roman" w:hAnsi="Times New Roman" w:cs="Times New Roman"/>
                <w:szCs w:val="21"/>
              </w:rPr>
              <w:t>（供应商的成立时间少于该规定年份的，应提供成立以来的财务会计报表）</w:t>
            </w:r>
          </w:p>
          <w:p>
            <w:pPr>
              <w:widowControl/>
              <w:spacing w:line="276" w:lineRule="auto"/>
              <w:jc w:val="left"/>
              <w:rPr>
                <w:rFonts w:ascii="宋体" w:hAnsi="宋体" w:eastAsia="宋体" w:cs="宋体"/>
                <w:kern w:val="0"/>
                <w:szCs w:val="21"/>
              </w:rPr>
            </w:pPr>
            <w:r>
              <w:rPr>
                <w:rFonts w:ascii="宋体" w:hAnsi="宋体" w:cs="宋体"/>
                <w:color w:val="221E1F"/>
                <w:szCs w:val="21"/>
              </w:rPr>
              <w:t>□</w:t>
            </w:r>
            <w:r>
              <w:rPr>
                <w:rFonts w:hint="eastAsia" w:ascii="宋体" w:hAnsi="宋体" w:cs="宋体"/>
                <w:color w:val="221E1F"/>
                <w:szCs w:val="21"/>
              </w:rPr>
              <w:t>适用。供应商应提供近年财务会计报表复印件，包括资产负债表、现金流量表、利润表等。近年财务会计报表年份是指：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w:t>
            </w:r>
            <w:r>
              <w:rPr>
                <w:rFonts w:ascii="宋体" w:hAnsi="宋体" w:eastAsia="宋体" w:cs="宋体"/>
                <w:kern w:val="0"/>
                <w:szCs w:val="21"/>
                <w:u w:val="single"/>
              </w:rPr>
              <w:t>.</w:t>
            </w:r>
            <w:r>
              <w:rPr>
                <w:rFonts w:hint="eastAsia" w:ascii="宋体" w:hAnsi="宋体" w:eastAsia="宋体" w:cs="宋体"/>
                <w:kern w:val="0"/>
                <w:szCs w:val="21"/>
                <w:u w:val="single"/>
              </w:rPr>
              <w:t>供应商资格要求</w:t>
            </w:r>
            <w:r>
              <w:rPr>
                <w:rFonts w:ascii="宋体" w:hAnsi="宋体" w:cs="宋体"/>
                <w:color w:val="221E1F"/>
                <w:szCs w:val="21"/>
              </w:rPr>
              <w:t xml:space="preserve"> </w:t>
            </w:r>
            <w:r>
              <w:rPr>
                <w:rFonts w:hint="eastAsia" w:ascii="宋体" w:hAnsi="宋体" w:cs="宋体"/>
                <w:color w:val="221E1F"/>
                <w:szCs w:val="21"/>
              </w:rPr>
              <w:t>规定的年份</w:t>
            </w:r>
            <w:r>
              <w:rPr>
                <w:rFonts w:hint="eastAsia" w:ascii="Times New Roman" w:hAnsi="Times New Roman" w:cs="Times New Roman"/>
                <w:szCs w:val="21"/>
              </w:rPr>
              <w:t>（供应商的成立时间少于该规定年份的，应提供成立以来的财务会计报表）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业绩要求证明材料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p>
            <w:pPr>
              <w:autoSpaceDE w:val="0"/>
              <w:autoSpaceDN w:val="0"/>
              <w:spacing w:line="276" w:lineRule="auto"/>
              <w:ind w:firstLine="210" w:firstLineChars="100"/>
              <w:jc w:val="left"/>
              <w:rPr>
                <w:rFonts w:ascii="宋体" w:hAnsi="宋体" w:cs="宋体"/>
                <w:color w:val="221E1F"/>
                <w:szCs w:val="21"/>
              </w:rPr>
            </w:pPr>
            <w:r>
              <w:rPr>
                <w:rFonts w:hint="eastAsia" w:ascii="宋体" w:hAnsi="宋体" w:cs="宋体"/>
                <w:color w:val="221E1F"/>
                <w:szCs w:val="21"/>
              </w:rPr>
              <w:t>业绩证明材料：</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合同</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中标通知书/成交通知书</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竣工验收报告/验收证明</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业主证明</w:t>
            </w:r>
          </w:p>
          <w:p>
            <w:pPr>
              <w:autoSpaceDE w:val="0"/>
              <w:autoSpaceDN w:val="0"/>
              <w:spacing w:line="276" w:lineRule="auto"/>
              <w:ind w:firstLine="210" w:firstLineChars="100"/>
              <w:jc w:val="left"/>
              <w:rPr>
                <w:rFonts w:ascii="宋体" w:hAnsi="宋体" w:cs="宋体"/>
                <w:color w:val="221E1F"/>
                <w:szCs w:val="21"/>
                <w:u w:val="single"/>
              </w:rPr>
            </w:pPr>
            <w:r>
              <w:rPr>
                <w:rFonts w:ascii="宋体" w:hAnsi="宋体" w:cs="宋体"/>
                <w:color w:val="221E1F"/>
                <w:szCs w:val="21"/>
              </w:rPr>
              <w:t>□</w:t>
            </w:r>
            <w:r>
              <w:rPr>
                <w:rFonts w:hint="eastAsia" w:ascii="宋体" w:hAnsi="宋体" w:cs="宋体"/>
                <w:color w:val="221E1F"/>
                <w:szCs w:val="21"/>
              </w:rPr>
              <w:t>其他材料：</w:t>
            </w:r>
            <w:r>
              <w:rPr>
                <w:rFonts w:hint="eastAsia" w:ascii="宋体" w:hAnsi="宋体" w:cs="宋体"/>
                <w:color w:val="221E1F"/>
                <w:szCs w:val="21"/>
                <w:u w:val="single"/>
              </w:rPr>
              <w:t xml:space="preserve"> </w:t>
            </w:r>
            <w:r>
              <w:rPr>
                <w:rFonts w:ascii="宋体" w:hAnsi="宋体" w:cs="宋体"/>
                <w:color w:val="221E1F"/>
                <w:szCs w:val="21"/>
                <w:u w:val="single"/>
              </w:rPr>
              <w:t xml:space="preserve">         </w:t>
            </w:r>
          </w:p>
          <w:p>
            <w:pPr>
              <w:autoSpaceDE w:val="0"/>
              <w:autoSpaceDN w:val="0"/>
              <w:spacing w:line="276" w:lineRule="auto"/>
              <w:ind w:firstLine="210" w:firstLineChars="100"/>
              <w:jc w:val="left"/>
              <w:rPr>
                <w:rFonts w:ascii="宋体" w:hAnsi="宋体" w:cs="宋体"/>
                <w:color w:val="221E1F"/>
                <w:szCs w:val="21"/>
              </w:rPr>
            </w:pPr>
            <w:r>
              <w:rPr>
                <w:rFonts w:hint="eastAsia" w:ascii="宋体" w:hAnsi="宋体" w:cs="宋体"/>
                <w:color w:val="221E1F"/>
                <w:szCs w:val="21"/>
              </w:rPr>
              <w:t>业绩证明材料种类要求：</w:t>
            </w:r>
          </w:p>
          <w:p>
            <w:pPr>
              <w:autoSpaceDE w:val="0"/>
              <w:autoSpaceDN w:val="0"/>
              <w:spacing w:line="276" w:lineRule="auto"/>
              <w:ind w:firstLine="211" w:firstLineChars="100"/>
              <w:jc w:val="left"/>
              <w:rPr>
                <w:rFonts w:ascii="宋体" w:hAnsi="宋体" w:cs="宋体"/>
                <w:color w:val="221E1F"/>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cs="宋体"/>
                <w:color w:val="221E1F"/>
                <w:szCs w:val="21"/>
              </w:rPr>
              <w:t>提供上述勾选的任一项证明材料即可</w:t>
            </w:r>
          </w:p>
          <w:p>
            <w:pPr>
              <w:autoSpaceDE w:val="0"/>
              <w:autoSpaceDN w:val="0"/>
              <w:spacing w:line="276" w:lineRule="auto"/>
              <w:ind w:firstLine="210" w:firstLineChars="100"/>
              <w:jc w:val="left"/>
              <w:rPr>
                <w:rFonts w:ascii="宋体" w:hAnsi="宋体" w:cs="宋体"/>
                <w:color w:val="221E1F"/>
                <w:szCs w:val="21"/>
              </w:rPr>
            </w:pPr>
            <w:r>
              <w:rPr>
                <w:rFonts w:ascii="宋体" w:hAnsi="宋体" w:cs="宋体"/>
                <w:color w:val="221E1F"/>
                <w:szCs w:val="21"/>
              </w:rPr>
              <w:t>□</w:t>
            </w:r>
            <w:r>
              <w:rPr>
                <w:rFonts w:hint="eastAsia" w:ascii="宋体" w:hAnsi="宋体" w:cs="宋体"/>
                <w:color w:val="221E1F"/>
                <w:szCs w:val="21"/>
              </w:rPr>
              <w:t>需同时提供上述勾选的所有证明材料</w:t>
            </w:r>
          </w:p>
          <w:p>
            <w:pPr>
              <w:widowControl/>
              <w:spacing w:line="276" w:lineRule="auto"/>
              <w:ind w:firstLine="210" w:firstLineChars="100"/>
              <w:jc w:val="left"/>
              <w:rPr>
                <w:rFonts w:ascii="宋体" w:hAnsi="宋体" w:eastAsia="宋体" w:cs="宋体"/>
                <w:kern w:val="0"/>
                <w:szCs w:val="21"/>
              </w:rPr>
            </w:pPr>
            <w:r>
              <w:rPr>
                <w:rFonts w:ascii="宋体" w:hAnsi="宋体" w:cs="宋体"/>
                <w:color w:val="221E1F"/>
                <w:szCs w:val="21"/>
              </w:rPr>
              <w:t>□</w:t>
            </w:r>
            <w:r>
              <w:rPr>
                <w:rFonts w:hint="eastAsia" w:ascii="宋体" w:hAnsi="宋体" w:cs="宋体"/>
                <w:color w:val="221E1F"/>
                <w:szCs w:val="21"/>
              </w:rPr>
              <w:t>其他要求：</w:t>
            </w:r>
            <w:r>
              <w:rPr>
                <w:rFonts w:hint="eastAsia" w:ascii="宋体" w:hAnsi="宋体" w:cs="宋体"/>
                <w:color w:val="221E1F"/>
                <w:szCs w:val="21"/>
                <w:u w:val="single"/>
              </w:rPr>
              <w:t xml:space="preserve"> </w:t>
            </w:r>
            <w:r>
              <w:rPr>
                <w:rFonts w:ascii="宋体" w:hAnsi="宋体" w:cs="宋体"/>
                <w:color w:val="221E1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Times New Roman" w:hAnsi="Times New Roman" w:eastAsia="宋体" w:cs="Times New Roman"/>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信誉要求证明材料</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符合询价公告中的3</w:t>
            </w:r>
            <w:r>
              <w:rPr>
                <w:rFonts w:ascii="宋体" w:hAnsi="宋体" w:eastAsia="宋体" w:cs="宋体"/>
                <w:kern w:val="0"/>
                <w:szCs w:val="21"/>
              </w:rPr>
              <w:t>.</w:t>
            </w:r>
            <w:r>
              <w:rPr>
                <w:rFonts w:hint="eastAsia" w:ascii="宋体" w:hAnsi="宋体" w:eastAsia="宋体" w:cs="宋体"/>
                <w:kern w:val="0"/>
                <w:szCs w:val="21"/>
              </w:rPr>
              <w:t>供应商资格要求。</w:t>
            </w:r>
          </w:p>
          <w:p>
            <w:pPr>
              <w:autoSpaceDE w:val="0"/>
              <w:autoSpaceDN w:val="0"/>
              <w:spacing w:line="276" w:lineRule="auto"/>
              <w:jc w:val="left"/>
              <w:rPr>
                <w:rFonts w:ascii="Times New Roman" w:hAnsi="Times New Roman" w:eastAsia="宋体" w:cs="宋体"/>
                <w:color w:val="221E1F"/>
                <w:szCs w:val="21"/>
              </w:rPr>
            </w:pPr>
            <w:r>
              <w:rPr>
                <w:rFonts w:hint="eastAsia" w:ascii="宋体" w:hAnsi="宋体" w:cs="宋体"/>
                <w:color w:val="221E1F"/>
                <w:szCs w:val="21"/>
              </w:rPr>
              <w:t>供应商应提供相关信誉情况的证明材料，包括：</w:t>
            </w:r>
            <w:r>
              <w:rPr>
                <w:rFonts w:hint="eastAsia" w:ascii="Times New Roman" w:hAnsi="Times New Roman" w:eastAsia="宋体" w:cs="宋体"/>
                <w:color w:val="221E1F"/>
                <w:szCs w:val="21"/>
              </w:rPr>
              <w:t>①供应商贪污贿赂犯罪行为查询结果截图。通过《中国裁判文书网》（wenshu.court.gov.cn）查询，查询指南：进入首页-点击高级搜索-打开案由-选择刑事案件-贪污贿赂-单位行贿</w:t>
            </w:r>
          </w:p>
          <w:p>
            <w:pPr>
              <w:autoSpaceDE w:val="0"/>
              <w:autoSpaceDN w:val="0"/>
              <w:spacing w:line="276" w:lineRule="auto"/>
              <w:jc w:val="left"/>
              <w:rPr>
                <w:rFonts w:ascii="宋体" w:hAnsi="宋体" w:eastAsia="宋体" w:cs="宋体"/>
                <w:kern w:val="0"/>
                <w:szCs w:val="21"/>
              </w:rPr>
            </w:pPr>
            <w:r>
              <w:rPr>
                <w:rFonts w:hint="eastAsia" w:ascii="Times New Roman" w:hAnsi="Times New Roman" w:eastAsia="宋体" w:cs="宋体"/>
                <w:color w:val="221E1F"/>
                <w:szCs w:val="21"/>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572" w:type="pct"/>
            <w:vMerge w:val="restar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响应性评审标准</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报价</w:t>
            </w:r>
          </w:p>
        </w:tc>
        <w:tc>
          <w:tcPr>
            <w:tcW w:w="2701" w:type="pct"/>
            <w:vAlign w:val="center"/>
          </w:tcPr>
          <w:p>
            <w:pPr>
              <w:autoSpaceDE w:val="0"/>
              <w:autoSpaceDN w:val="0"/>
              <w:spacing w:line="276" w:lineRule="auto"/>
              <w:jc w:val="left"/>
              <w:rPr>
                <w:rFonts w:ascii="Times New Roman" w:hAnsi="Times New Roman" w:eastAsia="宋体" w:cs="宋体"/>
                <w:color w:val="221E1F"/>
                <w:szCs w:val="21"/>
              </w:rPr>
            </w:pPr>
            <w:r>
              <w:rPr>
                <w:rFonts w:hint="eastAsia" w:ascii="Times New Roman" w:hAnsi="Times New Roman" w:eastAsia="宋体" w:cs="宋体"/>
                <w:color w:val="221E1F"/>
                <w:szCs w:val="21"/>
              </w:rPr>
              <w:t>供应商应按4.获取询价文件时间和方式中获取询价文件的响应文件格式要求在响应文件中进行报价。符合如下要求：</w:t>
            </w:r>
          </w:p>
          <w:p>
            <w:pPr>
              <w:autoSpaceDE w:val="0"/>
              <w:autoSpaceDN w:val="0"/>
              <w:spacing w:line="276" w:lineRule="auto"/>
              <w:jc w:val="left"/>
              <w:rPr>
                <w:rFonts w:ascii="Times New Roman" w:hAnsi="Times New Roman" w:eastAsia="宋体" w:cs="宋体"/>
                <w:color w:val="221E1F"/>
                <w:szCs w:val="21"/>
              </w:rPr>
            </w:pPr>
            <w:r>
              <w:rPr>
                <w:rFonts w:hint="eastAsia" w:ascii="Times New Roman" w:hAnsi="Times New Roman" w:eastAsia="宋体" w:cs="宋体"/>
                <w:color w:val="221E1F"/>
                <w:szCs w:val="21"/>
              </w:rPr>
              <w:t>（1）本项目均以人民币报价。供应商报价应遵守《中华人民共和国价格法》，双方发生的所有费用均以人民币进行结算与支付；</w:t>
            </w:r>
          </w:p>
          <w:p>
            <w:pPr>
              <w:autoSpaceDE w:val="0"/>
              <w:autoSpaceDN w:val="0"/>
              <w:spacing w:line="276" w:lineRule="auto"/>
              <w:jc w:val="left"/>
              <w:rPr>
                <w:rFonts w:ascii="Times New Roman" w:hAnsi="Times New Roman" w:eastAsia="宋体" w:cs="宋体"/>
                <w:color w:val="221E1F"/>
                <w:szCs w:val="21"/>
              </w:rPr>
            </w:pPr>
            <w:r>
              <w:rPr>
                <w:rFonts w:hint="eastAsia" w:ascii="Times New Roman" w:hAnsi="Times New Roman" w:eastAsia="宋体" w:cs="宋体"/>
                <w:color w:val="221E1F"/>
                <w:szCs w:val="21"/>
              </w:rPr>
              <w:t>（2）供应商报价应包含采购标的、运费、税金及履行本项目所必需的其他全部费用。</w:t>
            </w:r>
          </w:p>
          <w:p>
            <w:pPr>
              <w:autoSpaceDE w:val="0"/>
              <w:autoSpaceDN w:val="0"/>
              <w:spacing w:line="276" w:lineRule="auto"/>
              <w:jc w:val="left"/>
              <w:rPr>
                <w:rFonts w:ascii="宋体" w:hAnsi="宋体" w:eastAsia="宋体" w:cs="宋体"/>
                <w:kern w:val="0"/>
                <w:szCs w:val="21"/>
              </w:rPr>
            </w:pPr>
            <w:r>
              <w:rPr>
                <w:rFonts w:hint="eastAsia" w:ascii="Times New Roman" w:hAnsi="Times New Roman" w:eastAsia="宋体" w:cs="宋体"/>
                <w:color w:val="221E1F"/>
                <w:szCs w:val="21"/>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响应文件有效期</w:t>
            </w:r>
          </w:p>
        </w:tc>
        <w:tc>
          <w:tcPr>
            <w:tcW w:w="2701" w:type="pct"/>
            <w:vAlign w:val="center"/>
          </w:tcPr>
          <w:p>
            <w:pPr>
              <w:widowControl/>
              <w:spacing w:line="276" w:lineRule="auto"/>
              <w:jc w:val="left"/>
              <w:rPr>
                <w:rFonts w:ascii="宋体" w:hAnsi="宋体" w:eastAsia="宋体" w:cs="宋体"/>
                <w:kern w:val="0"/>
                <w:szCs w:val="21"/>
              </w:rPr>
            </w:pPr>
            <w:r>
              <w:rPr>
                <w:rFonts w:hint="eastAsia" w:ascii="Times New Roman" w:hAnsi="Times New Roman" w:cs="Times New Roman"/>
                <w:szCs w:val="21"/>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响应方案</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质量标准</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完成期限</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合同条款</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ascii="宋体" w:hAnsi="宋体" w:eastAsia="宋体" w:cs="宋体"/>
                <w:kern w:val="0"/>
                <w:szCs w:val="21"/>
              </w:rPr>
            </w:pPr>
          </w:p>
        </w:tc>
        <w:tc>
          <w:tcPr>
            <w:tcW w:w="572" w:type="pct"/>
            <w:vMerge w:val="continue"/>
            <w:vAlign w:val="center"/>
          </w:tcPr>
          <w:p>
            <w:pPr>
              <w:widowControl/>
              <w:spacing w:line="276" w:lineRule="auto"/>
              <w:jc w:val="center"/>
              <w:rPr>
                <w:rFonts w:ascii="宋体" w:hAnsi="宋体" w:eastAsia="宋体" w:cs="宋体"/>
                <w:kern w:val="0"/>
                <w:szCs w:val="21"/>
              </w:rPr>
            </w:pP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对非关键条款的偏差</w:t>
            </w:r>
          </w:p>
        </w:tc>
        <w:tc>
          <w:tcPr>
            <w:tcW w:w="2701" w:type="pct"/>
            <w:vAlign w:val="center"/>
          </w:tcPr>
          <w:p>
            <w:pPr>
              <w:spacing w:line="276" w:lineRule="auto"/>
              <w:rPr>
                <w:rFonts w:ascii="宋体" w:hAnsi="宋体" w:eastAsia="宋体" w:cs="Times New Roman"/>
                <w:szCs w:val="21"/>
              </w:rPr>
            </w:pPr>
            <w:r>
              <w:rPr>
                <w:rFonts w:hint="eastAsia" w:ascii="宋体" w:hAnsi="宋体" w:eastAsia="宋体" w:cs="Times New Roman"/>
                <w:szCs w:val="21"/>
              </w:rPr>
              <w:t>允许偏差的范围：</w:t>
            </w:r>
            <w:r>
              <w:rPr>
                <w:rFonts w:hint="eastAsia" w:ascii="宋体" w:hAnsi="宋体" w:cs="宋体"/>
                <w:color w:val="221E1F"/>
                <w:szCs w:val="21"/>
                <w:u w:val="single"/>
              </w:rPr>
              <w:t xml:space="preserve"> </w:t>
            </w:r>
            <w:r>
              <w:rPr>
                <w:rFonts w:ascii="宋体" w:hAnsi="宋体" w:cs="宋体"/>
                <w:color w:val="221E1F"/>
                <w:szCs w:val="21"/>
                <w:u w:val="single"/>
              </w:rPr>
              <w:t xml:space="preserve">  </w:t>
            </w:r>
            <w:r>
              <w:rPr>
                <w:rFonts w:hint="eastAsia" w:ascii="宋体" w:hAnsi="宋体" w:cs="宋体"/>
                <w:color w:val="221E1F"/>
                <w:szCs w:val="21"/>
                <w:u w:val="single"/>
              </w:rPr>
              <w:t>/</w:t>
            </w:r>
            <w:r>
              <w:rPr>
                <w:rFonts w:ascii="宋体" w:hAnsi="宋体" w:cs="宋体"/>
                <w:color w:val="221E1F"/>
                <w:szCs w:val="21"/>
                <w:u w:val="single"/>
              </w:rPr>
              <w:t xml:space="preserve">   </w:t>
            </w:r>
          </w:p>
          <w:p>
            <w:pPr>
              <w:widowControl/>
              <w:spacing w:line="276" w:lineRule="auto"/>
              <w:jc w:val="left"/>
              <w:rPr>
                <w:rFonts w:ascii="宋体" w:hAnsi="宋体" w:eastAsia="宋体" w:cs="宋体"/>
                <w:kern w:val="0"/>
                <w:szCs w:val="21"/>
              </w:rPr>
            </w:pPr>
            <w:r>
              <w:rPr>
                <w:rFonts w:hint="eastAsia" w:ascii="宋体" w:hAnsi="宋体" w:eastAsia="宋体" w:cs="Times New Roman"/>
                <w:szCs w:val="21"/>
              </w:rPr>
              <w:t>允许偏差的项数：</w:t>
            </w:r>
            <w:r>
              <w:rPr>
                <w:rFonts w:hint="eastAsia" w:ascii="宋体" w:hAnsi="宋体" w:cs="宋体"/>
                <w:color w:val="221E1F"/>
                <w:szCs w:val="21"/>
                <w:u w:val="single"/>
              </w:rPr>
              <w:t xml:space="preserve"> </w:t>
            </w:r>
            <w:r>
              <w:rPr>
                <w:rFonts w:ascii="宋体" w:hAnsi="宋体" w:cs="宋体"/>
                <w:color w:val="221E1F"/>
                <w:szCs w:val="21"/>
                <w:u w:val="single"/>
              </w:rPr>
              <w:t xml:space="preserve"> </w:t>
            </w:r>
            <w:r>
              <w:rPr>
                <w:rFonts w:hint="eastAsia" w:ascii="宋体" w:hAnsi="宋体" w:cs="宋体"/>
                <w:color w:val="221E1F"/>
                <w:szCs w:val="21"/>
                <w:u w:val="single"/>
              </w:rPr>
              <w:t>/</w:t>
            </w:r>
            <w:r>
              <w:rPr>
                <w:rFonts w:ascii="宋体" w:hAnsi="宋体" w:cs="宋体"/>
                <w:color w:val="221E1F"/>
                <w:szCs w:val="21"/>
                <w:u w:val="single"/>
              </w:rPr>
              <w:t xml:space="preserve"> </w:t>
            </w:r>
            <w:r>
              <w:rPr>
                <w:rFonts w:hint="eastAsia" w:ascii="宋体" w:hAnsi="宋体" w:eastAsia="宋体" w:cs="Times New Roman"/>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宋体" w:hAnsi="宋体" w:eastAsia="宋体" w:cs="宋体"/>
                <w:kern w:val="0"/>
                <w:szCs w:val="21"/>
              </w:rPr>
            </w:pPr>
            <w:r>
              <w:rPr>
                <w:rFonts w:hint="eastAsia" w:ascii="Times New Roman" w:hAnsi="Times New Roman" w:eastAsia="宋体" w:cs="Times New Roman"/>
                <w:kern w:val="0"/>
                <w:szCs w:val="21"/>
              </w:rPr>
              <w:t>3.1.1</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评审价格</w:t>
            </w:r>
          </w:p>
        </w:tc>
        <w:tc>
          <w:tcPr>
            <w:tcW w:w="2701" w:type="pct"/>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条款号</w:t>
            </w:r>
          </w:p>
        </w:tc>
        <w:tc>
          <w:tcPr>
            <w:tcW w:w="1373"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条款内容</w:t>
            </w:r>
          </w:p>
        </w:tc>
        <w:tc>
          <w:tcPr>
            <w:tcW w:w="2701" w:type="pct"/>
            <w:vAlign w:val="center"/>
          </w:tcPr>
          <w:p>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widowControl/>
              <w:spacing w:line="276" w:lineRule="auto"/>
              <w:jc w:val="center"/>
              <w:rPr>
                <w:rFonts w:ascii="宋体" w:hAnsi="宋体" w:eastAsia="宋体" w:cs="宋体"/>
                <w:kern w:val="0"/>
                <w:szCs w:val="21"/>
              </w:rPr>
            </w:pPr>
            <w:r>
              <w:rPr>
                <w:rFonts w:hint="eastAsia" w:ascii="Times New Roman" w:hAnsi="Times New Roman" w:eastAsia="宋体" w:cs="Times New Roman"/>
                <w:kern w:val="0"/>
                <w:szCs w:val="21"/>
              </w:rPr>
              <w:t>3.2</w:t>
            </w:r>
            <w:r>
              <w:rPr>
                <w:rFonts w:hint="eastAsia" w:ascii="宋体" w:hAnsi="宋体" w:eastAsia="宋体" w:cs="宋体"/>
                <w:kern w:val="0"/>
                <w:szCs w:val="21"/>
              </w:rPr>
              <w:t>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3.2.1</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评审要求</w:t>
            </w:r>
          </w:p>
        </w:tc>
        <w:tc>
          <w:tcPr>
            <w:tcW w:w="2701" w:type="pct"/>
            <w:vAlign w:val="center"/>
          </w:tcPr>
          <w:p>
            <w:pPr>
              <w:widowControl/>
              <w:spacing w:line="276" w:lineRule="auto"/>
              <w:jc w:val="left"/>
              <w:rPr>
                <w:rFonts w:ascii="宋体" w:hAnsi="宋体" w:eastAsia="宋体" w:cs="宋体"/>
                <w:kern w:val="0"/>
                <w:szCs w:val="21"/>
              </w:rPr>
            </w:pPr>
            <w:r>
              <w:rPr>
                <w:rFonts w:hint="eastAsia" w:ascii="宋体" w:hAnsi="宋体" w:eastAsia="宋体" w:cs="宋体"/>
                <w:kern w:val="0"/>
                <w:szCs w:val="21"/>
              </w:rPr>
              <w:t>评审小组对满足采购文件实质性要求的响应文件，确定供应商最终报价的评审价格，并按照评审价格由低到高的顺序推荐候选成交供应商。</w:t>
            </w:r>
          </w:p>
          <w:p>
            <w:pPr>
              <w:widowControl/>
              <w:spacing w:line="276" w:lineRule="auto"/>
              <w:jc w:val="left"/>
              <w:rPr>
                <w:rFonts w:ascii="宋体" w:hAnsi="宋体" w:eastAsia="宋体" w:cs="仿宋_GB2312"/>
                <w:b/>
                <w:szCs w:val="21"/>
              </w:rPr>
            </w:pPr>
            <w:r>
              <w:rPr>
                <w:rFonts w:hint="eastAsia" w:ascii="宋体" w:hAnsi="宋体" w:eastAsia="宋体" w:cs="宋体"/>
                <w:kern w:val="0"/>
                <w:szCs w:val="21"/>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ascii="宋体" w:hAnsi="宋体" w:eastAsia="宋体" w:cs="宋体"/>
                <w:kern w:val="0"/>
                <w:szCs w:val="21"/>
              </w:rPr>
            </w:pPr>
            <w:r>
              <w:rPr>
                <w:rFonts w:hint="eastAsia" w:ascii="Times New Roman" w:hAnsi="Times New Roman" w:eastAsia="宋体" w:cs="Times New Roman"/>
                <w:kern w:val="0"/>
                <w:szCs w:val="21"/>
              </w:rPr>
              <w:t>3.2.</w:t>
            </w:r>
            <w:r>
              <w:rPr>
                <w:rFonts w:ascii="Times New Roman" w:hAnsi="Times New Roman" w:eastAsia="宋体" w:cs="Times New Roman"/>
                <w:kern w:val="0"/>
                <w:szCs w:val="21"/>
              </w:rPr>
              <w:t>2</w:t>
            </w:r>
          </w:p>
        </w:tc>
        <w:tc>
          <w:tcPr>
            <w:tcW w:w="1373" w:type="pct"/>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供应商并列时确定供应商优先顺序的规则</w:t>
            </w:r>
          </w:p>
        </w:tc>
        <w:tc>
          <w:tcPr>
            <w:tcW w:w="2701" w:type="pct"/>
            <w:vAlign w:val="center"/>
          </w:tcPr>
          <w:p>
            <w:pPr>
              <w:widowControl/>
              <w:spacing w:line="276" w:lineRule="auto"/>
              <w:jc w:val="left"/>
              <w:rPr>
                <w:rFonts w:ascii="宋体" w:hAnsi="宋体" w:eastAsia="宋体" w:cs="宋体"/>
                <w:kern w:val="0"/>
                <w:szCs w:val="21"/>
              </w:rPr>
            </w:pPr>
            <w:r>
              <w:rPr>
                <w:rFonts w:ascii="宋体" w:hAnsi="宋体" w:eastAsia="宋体" w:cs="仿宋_GB2312"/>
                <w:b/>
                <w:szCs w:val="21"/>
              </w:rPr>
              <w:fldChar w:fldCharType="begin"/>
            </w:r>
            <w:r>
              <w:rPr>
                <w:rFonts w:ascii="宋体" w:hAnsi="宋体" w:eastAsia="宋体" w:cs="仿宋_GB2312"/>
                <w:b/>
                <w:szCs w:val="21"/>
              </w:rPr>
              <w:instrText xml:space="preserve"> </w:instrText>
            </w:r>
            <w:r>
              <w:rPr>
                <w:rFonts w:hint="eastAsia" w:ascii="宋体" w:hAnsi="宋体" w:eastAsia="宋体" w:cs="仿宋_GB2312"/>
                <w:b/>
                <w:szCs w:val="21"/>
              </w:rPr>
              <w:instrText xml:space="preserve">eq \o\ac(□,</w:instrText>
            </w:r>
            <w:r>
              <w:rPr>
                <w:rFonts w:hint="eastAsia" w:ascii="Segoe UI Symbol" w:hAnsi="宋体" w:eastAsia="宋体" w:cs="仿宋_GB2312"/>
                <w:b/>
                <w:position w:val="2"/>
                <w:szCs w:val="21"/>
              </w:rPr>
              <w:instrText xml:space="preserve">√</w:instrText>
            </w:r>
            <w:r>
              <w:rPr>
                <w:rFonts w:hint="eastAsia" w:ascii="宋体" w:hAnsi="宋体" w:eastAsia="宋体" w:cs="仿宋_GB2312"/>
                <w:b/>
                <w:szCs w:val="21"/>
              </w:rPr>
              <w:instrText xml:space="preserve">)</w:instrText>
            </w:r>
            <w:r>
              <w:rPr>
                <w:rFonts w:ascii="宋体" w:hAnsi="宋体" w:eastAsia="宋体" w:cs="仿宋_GB2312"/>
                <w:b/>
                <w:szCs w:val="21"/>
              </w:rPr>
              <w:fldChar w:fldCharType="end"/>
            </w:r>
            <w:r>
              <w:rPr>
                <w:rFonts w:hint="eastAsia" w:ascii="宋体" w:hAnsi="宋体" w:eastAsia="宋体" w:cs="宋体"/>
                <w:kern w:val="0"/>
                <w:szCs w:val="21"/>
              </w:rPr>
              <w:t>由评审小组投票确定</w:t>
            </w:r>
          </w:p>
          <w:p>
            <w:pPr>
              <w:widowControl/>
              <w:spacing w:line="276" w:lineRule="auto"/>
              <w:jc w:val="left"/>
              <w:rPr>
                <w:rFonts w:ascii="宋体" w:hAnsi="宋体" w:eastAsia="宋体" w:cs="宋体"/>
                <w:kern w:val="0"/>
                <w:szCs w:val="21"/>
              </w:rPr>
            </w:pPr>
            <w:r>
              <w:rPr>
                <w:rFonts w:ascii="宋体" w:hAnsi="宋体" w:cs="仿宋_GB2312"/>
                <w:szCs w:val="21"/>
              </w:rPr>
              <w:t>□</w:t>
            </w:r>
            <w:r>
              <w:rPr>
                <w:rFonts w:hint="eastAsia" w:ascii="宋体" w:hAnsi="宋体" w:eastAsia="宋体" w:cs="宋体"/>
                <w:kern w:val="0"/>
                <w:szCs w:val="21"/>
              </w:rPr>
              <w:t>由评审小组抽签决定</w:t>
            </w:r>
          </w:p>
        </w:tc>
      </w:tr>
    </w:tbl>
    <w:p>
      <w:pPr>
        <w:widowControl/>
        <w:spacing w:line="360" w:lineRule="auto"/>
        <w:jc w:val="left"/>
        <w:rPr>
          <w:rFonts w:ascii="宋体" w:hAnsi="宋体"/>
          <w:color w:val="000000"/>
        </w:rPr>
      </w:pP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询价文件的澄清</w:t>
      </w:r>
    </w:p>
    <w:p>
      <w:pPr>
        <w:spacing w:line="360" w:lineRule="auto"/>
        <w:ind w:firstLine="210" w:firstLineChars="100"/>
        <w:rPr>
          <w:rFonts w:asciiTheme="minorEastAsia" w:hAnsiTheme="minorEastAsia"/>
          <w:szCs w:val="21"/>
        </w:rPr>
      </w:pPr>
      <w:r>
        <w:rPr>
          <w:rFonts w:hint="eastAsia" w:asciiTheme="minorEastAsia" w:hAnsiTheme="minorEastAsia"/>
          <w:szCs w:val="21"/>
        </w:rPr>
        <w:t>采购人可以书面形式澄清和修改询价文件，并通知所有已提交报价和文件的供应商。</w:t>
      </w:r>
    </w:p>
    <w:p>
      <w:pPr>
        <w:pStyle w:val="10"/>
        <w:widowControl/>
        <w:numPr>
          <w:ilvl w:val="0"/>
          <w:numId w:val="1"/>
        </w:numPr>
        <w:spacing w:line="360" w:lineRule="auto"/>
        <w:ind w:firstLineChars="0"/>
        <w:jc w:val="left"/>
        <w:rPr>
          <w:rFonts w:asciiTheme="minorEastAsia" w:hAnsiTheme="minorEastAsia"/>
          <w:szCs w:val="21"/>
        </w:rPr>
      </w:pPr>
      <w:r>
        <w:rPr>
          <w:rFonts w:hint="eastAsia" w:ascii="宋体" w:hAnsi="宋体"/>
          <w:b/>
          <w:color w:val="000000"/>
        </w:rPr>
        <w:t>响应文件的澄清</w:t>
      </w:r>
    </w:p>
    <w:p>
      <w:pPr>
        <w:widowControl/>
        <w:spacing w:line="360" w:lineRule="auto"/>
        <w:ind w:firstLine="420" w:firstLineChars="200"/>
        <w:jc w:val="left"/>
        <w:rPr>
          <w:rFonts w:ascii="宋体" w:hAnsi="宋体"/>
          <w:color w:val="000000"/>
        </w:rPr>
      </w:pPr>
      <w:r>
        <w:rPr>
          <w:rFonts w:hint="eastAsia" w:ascii="宋体" w:hAnsi="宋体"/>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pStyle w:val="10"/>
        <w:widowControl/>
        <w:numPr>
          <w:ilvl w:val="0"/>
          <w:numId w:val="1"/>
        </w:numPr>
        <w:spacing w:line="360" w:lineRule="auto"/>
        <w:ind w:firstLineChars="0"/>
        <w:jc w:val="left"/>
        <w:rPr>
          <w:rFonts w:ascii="宋体" w:hAnsi="宋体"/>
          <w:bCs/>
          <w:color w:val="000000"/>
        </w:rPr>
      </w:pPr>
      <w:r>
        <w:rPr>
          <w:rFonts w:hint="eastAsia" w:ascii="宋体" w:hAnsi="宋体"/>
          <w:bCs/>
          <w:color w:val="000000"/>
        </w:rPr>
        <w:t>供应商应具备承担本询价项目的资质条件、能力和信誉。除满足询价公告规定的资格要求外，供应商不得存在下列情形之一：</w:t>
      </w:r>
    </w:p>
    <w:p>
      <w:pPr>
        <w:widowControl/>
        <w:spacing w:line="360" w:lineRule="auto"/>
        <w:jc w:val="left"/>
        <w:rPr>
          <w:rFonts w:ascii="宋体" w:hAnsi="宋体"/>
          <w:color w:val="000000"/>
        </w:rPr>
      </w:pPr>
      <w:r>
        <w:rPr>
          <w:rFonts w:hint="eastAsia" w:ascii="宋体" w:hAnsi="宋体"/>
          <w:color w:val="000000"/>
        </w:rPr>
        <w:t>（1）为采购人不具有独立法人资格的附属机构（单位）；</w:t>
      </w:r>
    </w:p>
    <w:p>
      <w:pPr>
        <w:widowControl/>
        <w:spacing w:line="360" w:lineRule="auto"/>
        <w:jc w:val="left"/>
        <w:rPr>
          <w:rFonts w:ascii="宋体" w:hAnsi="宋体"/>
          <w:color w:val="000000"/>
        </w:rPr>
      </w:pPr>
      <w:r>
        <w:rPr>
          <w:rFonts w:hint="eastAsia" w:ascii="宋体" w:hAnsi="宋体"/>
          <w:color w:val="000000"/>
        </w:rPr>
        <w:t>（2）与本包件的其他供应商为同一个单位负责人；</w:t>
      </w:r>
    </w:p>
    <w:p>
      <w:pPr>
        <w:widowControl/>
        <w:spacing w:line="360" w:lineRule="auto"/>
        <w:jc w:val="left"/>
        <w:rPr>
          <w:rFonts w:ascii="宋体" w:hAnsi="宋体"/>
          <w:color w:val="000000"/>
        </w:rPr>
      </w:pPr>
      <w:r>
        <w:rPr>
          <w:rFonts w:hint="eastAsia" w:ascii="宋体" w:hAnsi="宋体"/>
          <w:color w:val="000000"/>
        </w:rPr>
        <w:t>（3）与本包件的其他供应商存在控股、管理关系；</w:t>
      </w:r>
    </w:p>
    <w:p>
      <w:pPr>
        <w:widowControl/>
        <w:spacing w:line="360" w:lineRule="auto"/>
        <w:jc w:val="left"/>
        <w:rPr>
          <w:rFonts w:ascii="宋体" w:hAnsi="宋体"/>
          <w:color w:val="000000"/>
        </w:rPr>
      </w:pPr>
      <w:r>
        <w:rPr>
          <w:rFonts w:hint="eastAsia" w:ascii="宋体" w:hAnsi="宋体"/>
          <w:color w:val="000000"/>
        </w:rPr>
        <w:t>（4）为本包件的代理机构；</w:t>
      </w:r>
    </w:p>
    <w:p>
      <w:pPr>
        <w:widowControl/>
        <w:spacing w:line="360" w:lineRule="auto"/>
        <w:jc w:val="left"/>
        <w:rPr>
          <w:rFonts w:ascii="宋体" w:hAnsi="宋体"/>
          <w:color w:val="000000"/>
        </w:rPr>
      </w:pPr>
      <w:r>
        <w:rPr>
          <w:rFonts w:hint="eastAsia" w:ascii="宋体" w:hAnsi="宋体"/>
          <w:color w:val="000000"/>
        </w:rPr>
        <w:t>（5）与本包件的代理机构同为一个法定代表人；</w:t>
      </w:r>
    </w:p>
    <w:p>
      <w:pPr>
        <w:widowControl/>
        <w:spacing w:line="360" w:lineRule="auto"/>
        <w:jc w:val="left"/>
        <w:rPr>
          <w:rFonts w:ascii="宋体" w:hAnsi="宋体"/>
          <w:color w:val="000000"/>
        </w:rPr>
      </w:pPr>
      <w:r>
        <w:rPr>
          <w:rFonts w:hint="eastAsia" w:ascii="宋体" w:hAnsi="宋体"/>
          <w:color w:val="000000"/>
        </w:rPr>
        <w:t>（6）与本包件的代理机构存在控股或参股关系；</w:t>
      </w:r>
    </w:p>
    <w:p>
      <w:pPr>
        <w:widowControl/>
        <w:spacing w:line="360" w:lineRule="auto"/>
        <w:jc w:val="left"/>
        <w:rPr>
          <w:rFonts w:ascii="宋体" w:hAnsi="宋体"/>
          <w:color w:val="000000"/>
        </w:rPr>
      </w:pPr>
      <w:r>
        <w:rPr>
          <w:rFonts w:hint="eastAsia" w:ascii="宋体" w:hAnsi="宋体"/>
          <w:color w:val="000000"/>
        </w:rPr>
        <w:t>（7）被依法暂停或取消投标资格；</w:t>
      </w:r>
    </w:p>
    <w:p>
      <w:pPr>
        <w:widowControl/>
        <w:spacing w:line="360" w:lineRule="auto"/>
        <w:jc w:val="left"/>
        <w:rPr>
          <w:rFonts w:ascii="宋体" w:hAnsi="宋体"/>
          <w:color w:val="000000"/>
        </w:rPr>
      </w:pPr>
      <w:r>
        <w:rPr>
          <w:rFonts w:hint="eastAsia" w:ascii="宋体" w:hAnsi="宋体"/>
          <w:color w:val="000000"/>
        </w:rPr>
        <w:t>（8）被责令停产停业、暂扣或者吊销许可证、暂扣或者吊销执照；</w:t>
      </w:r>
    </w:p>
    <w:p>
      <w:pPr>
        <w:widowControl/>
        <w:spacing w:line="360" w:lineRule="auto"/>
        <w:jc w:val="left"/>
        <w:rPr>
          <w:rFonts w:ascii="宋体" w:hAnsi="宋体"/>
          <w:color w:val="000000"/>
        </w:rPr>
      </w:pPr>
      <w:r>
        <w:rPr>
          <w:rFonts w:hint="eastAsia" w:ascii="宋体" w:hAnsi="宋体"/>
          <w:color w:val="000000"/>
        </w:rPr>
        <w:t>（9）进入清算程序，或被宣告破产，或其他丧失履约能力的情形；</w:t>
      </w:r>
    </w:p>
    <w:p>
      <w:pPr>
        <w:widowControl/>
        <w:spacing w:line="360" w:lineRule="auto"/>
        <w:jc w:val="left"/>
        <w:rPr>
          <w:rFonts w:ascii="宋体" w:hAnsi="宋体"/>
          <w:color w:val="000000"/>
        </w:rPr>
      </w:pPr>
      <w:r>
        <w:rPr>
          <w:rFonts w:hint="eastAsia" w:ascii="宋体" w:hAnsi="宋体"/>
          <w:color w:val="000000"/>
        </w:rPr>
        <w:t>（10）在最近三年内发生重大产品质量问题（以相关行业主管部门的行政处罚决定或司法 机关出具的有关法律文书为准）；</w:t>
      </w:r>
    </w:p>
    <w:p>
      <w:pPr>
        <w:widowControl/>
        <w:spacing w:line="360" w:lineRule="auto"/>
        <w:jc w:val="left"/>
        <w:rPr>
          <w:rFonts w:ascii="宋体" w:hAnsi="宋体"/>
          <w:color w:val="000000"/>
        </w:rPr>
      </w:pPr>
      <w:r>
        <w:rPr>
          <w:rFonts w:hint="eastAsia" w:ascii="宋体" w:hAnsi="宋体"/>
          <w:color w:val="000000"/>
        </w:rPr>
        <w:t>（11）被工商行政管理机关在全国企业信用信息公示系统中列入严重违法失信企业名单；</w:t>
      </w:r>
    </w:p>
    <w:p>
      <w:pPr>
        <w:widowControl/>
        <w:spacing w:line="360" w:lineRule="auto"/>
        <w:jc w:val="left"/>
        <w:rPr>
          <w:rFonts w:ascii="宋体" w:hAnsi="宋体"/>
          <w:color w:val="000000"/>
        </w:rPr>
      </w:pPr>
      <w:r>
        <w:rPr>
          <w:rFonts w:hint="eastAsia" w:ascii="宋体" w:hAnsi="宋体"/>
          <w:color w:val="000000"/>
        </w:rPr>
        <w:t>（12）被最高人民法院在“信用中国”网站（www.creditchina.gov.cn）或各级信用信息共享平台中列入失信被执行人名单；</w:t>
      </w:r>
    </w:p>
    <w:p>
      <w:pPr>
        <w:widowControl/>
        <w:spacing w:line="360" w:lineRule="auto"/>
        <w:jc w:val="left"/>
        <w:rPr>
          <w:rFonts w:ascii="宋体" w:hAnsi="宋体"/>
          <w:color w:val="000000"/>
        </w:rPr>
      </w:pPr>
      <w:r>
        <w:rPr>
          <w:rFonts w:hint="eastAsia" w:ascii="宋体" w:hAnsi="宋体"/>
          <w:color w:val="000000"/>
        </w:rPr>
        <w:t>（13）在近三年内供应商或其法定代表人、拟委任的项目负责人有行贿犯罪行为的（以检察机关职务犯罪预防部门出具的查询结果为准）；</w:t>
      </w:r>
    </w:p>
    <w:p>
      <w:pPr>
        <w:widowControl/>
        <w:spacing w:line="360" w:lineRule="auto"/>
        <w:jc w:val="left"/>
        <w:rPr>
          <w:rFonts w:ascii="宋体" w:hAnsi="宋体"/>
          <w:color w:val="000000"/>
        </w:rPr>
      </w:pPr>
      <w:r>
        <w:rPr>
          <w:rFonts w:hint="eastAsia" w:ascii="宋体" w:hAnsi="宋体"/>
          <w:color w:val="000000"/>
        </w:rPr>
        <w:t>（14）法律法规或供应商须知前附表规定的其他情形</w:t>
      </w:r>
    </w:p>
    <w:p>
      <w:pPr>
        <w:pStyle w:val="10"/>
        <w:widowControl/>
        <w:numPr>
          <w:ilvl w:val="0"/>
          <w:numId w:val="1"/>
        </w:numPr>
        <w:spacing w:line="360" w:lineRule="auto"/>
        <w:ind w:firstLineChars="0"/>
        <w:jc w:val="left"/>
        <w:rPr>
          <w:rFonts w:ascii="宋体" w:hAnsi="宋体"/>
          <w:bCs/>
          <w:color w:val="000000"/>
        </w:rPr>
      </w:pPr>
      <w:r>
        <w:rPr>
          <w:rFonts w:hint="eastAsia" w:ascii="宋体" w:hAnsi="宋体"/>
          <w:bCs/>
          <w:color w:val="000000"/>
        </w:rPr>
        <w:t>采购人按照根据实际情况选择向确定的成交供应商发出成交通知，同时将询价结果通知未成交的供应商。</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合同授予</w:t>
      </w:r>
    </w:p>
    <w:p>
      <w:pPr>
        <w:widowControl/>
        <w:spacing w:line="360" w:lineRule="auto"/>
        <w:ind w:firstLine="420" w:firstLineChars="200"/>
        <w:jc w:val="left"/>
        <w:rPr>
          <w:rFonts w:ascii="宋体" w:hAnsi="宋体"/>
          <w:color w:val="000000"/>
        </w:rPr>
      </w:pPr>
      <w:r>
        <w:rPr>
          <w:rFonts w:hint="eastAsia" w:ascii="宋体" w:hAnsi="宋体"/>
          <w:color w:val="000000"/>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其他</w:t>
      </w:r>
    </w:p>
    <w:p>
      <w:pPr>
        <w:spacing w:line="360" w:lineRule="auto"/>
        <w:ind w:firstLine="420" w:firstLineChars="200"/>
        <w:rPr>
          <w:rFonts w:ascii="宋体" w:hAnsi="宋体" w:eastAsia="宋体" w:cs="Times New Roman"/>
          <w:color w:val="000000"/>
        </w:rPr>
      </w:pPr>
      <w:r>
        <w:rPr>
          <w:rFonts w:hint="eastAsia" w:ascii="宋体" w:hAnsi="宋体" w:eastAsia="宋体" w:cs="Times New Roman"/>
          <w:color w:val="000000"/>
        </w:rPr>
        <w:t>监督部门：本询价项目的监督部门为北京铁路信号有限公司纪检监察部，电话：010-51214183，邮箱：</w:t>
      </w:r>
      <w:r>
        <w:fldChar w:fldCharType="begin"/>
      </w:r>
      <w:r>
        <w:instrText xml:space="preserve"> HYPERLINK "mailto:BXJJJC@crsc.cn" </w:instrText>
      </w:r>
      <w:r>
        <w:fldChar w:fldCharType="separate"/>
      </w:r>
      <w:r>
        <w:rPr>
          <w:rFonts w:hint="eastAsia" w:ascii="宋体" w:hAnsi="宋体" w:eastAsia="宋体" w:cs="Times New Roman"/>
          <w:color w:val="0000FF"/>
          <w:u w:val="single"/>
        </w:rPr>
        <w:t>BXJJJC@crsc.cn</w:t>
      </w:r>
      <w:r>
        <w:rPr>
          <w:rFonts w:hint="eastAsia" w:ascii="宋体" w:hAnsi="宋体" w:eastAsia="宋体" w:cs="Times New Roman"/>
          <w:color w:val="0000FF"/>
          <w:u w:val="single"/>
        </w:rPr>
        <w:fldChar w:fldCharType="end"/>
      </w:r>
      <w:r>
        <w:rPr>
          <w:rFonts w:hint="eastAsia" w:ascii="宋体" w:hAnsi="宋体" w:eastAsia="宋体" w:cs="Times New Roman"/>
          <w:color w:val="000000"/>
        </w:rPr>
        <w:t>。</w:t>
      </w:r>
    </w:p>
    <w:p/>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3"/>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北京铁路信号有限公司</w:t>
    </w:r>
    <w:r>
      <w:rPr>
        <w:rFonts w:hint="eastAsia"/>
        <w:lang w:eastAsia="zh-CN"/>
      </w:rPr>
      <w:t>BTM电源模块采购项目</w:t>
    </w:r>
    <w:r>
      <w:rPr>
        <w:rFonts w:hint="eastAsia"/>
      </w:rPr>
      <w:t>询价须知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437F"/>
    <w:multiLevelType w:val="multilevel"/>
    <w:tmpl w:val="3371437F"/>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2A6933"/>
    <w:rsid w:val="001D1776"/>
    <w:rsid w:val="002A6933"/>
    <w:rsid w:val="00814D0F"/>
    <w:rsid w:val="00845181"/>
    <w:rsid w:val="1D28626C"/>
    <w:rsid w:val="37116682"/>
    <w:rsid w:val="63246D95"/>
    <w:rsid w:val="7B63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autoRedefine/>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2 字符"/>
    <w:basedOn w:val="6"/>
    <w:link w:val="2"/>
    <w:autoRedefine/>
    <w:qFormat/>
    <w:uiPriority w:val="0"/>
    <w:rPr>
      <w:rFonts w:ascii="Arial" w:hAnsi="Arial" w:eastAsia="黑体" w:cs="Times New Roman"/>
      <w:b/>
      <w:kern w:val="0"/>
      <w:sz w:val="30"/>
      <w:szCs w:val="20"/>
    </w:rPr>
  </w:style>
  <w:style w:type="paragraph" w:styleId="10">
    <w:name w:val="List Paragraph"/>
    <w:basedOn w:val="1"/>
    <w:autoRedefine/>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573</Words>
  <Characters>3271</Characters>
  <Lines>27</Lines>
  <Paragraphs>7</Paragraphs>
  <TotalTime>3</TotalTime>
  <ScaleCrop>false</ScaleCrop>
  <LinksUpToDate>false</LinksUpToDate>
  <CharactersWithSpaces>3837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2023-12-19T00:48:00Z</dcterms:created>
  <dc:creator>吴琳</dc:creator>
  <cp:lastModifiedBy>测试</cp:lastModifiedBy>
  <dcterms:modified xsi:type="dcterms:W3CDTF">2024-01-08T08:43:11Z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8169177A97B646F88F8D8EA9610B183E_12</vt:lpwstr>
  </property>
</Properties>
</file>