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p>
    <w:p>
      <w:pPr>
        <w:spacing w:line="360" w:lineRule="auto"/>
        <w:jc w:val="center"/>
        <w:rPr>
          <w:rFonts w:ascii="宋体" w:hAnsi="宋体"/>
          <w:b/>
          <w:color w:val="000000"/>
          <w:sz w:val="32"/>
        </w:rPr>
      </w:pPr>
      <w:r>
        <w:rPr>
          <w:rFonts w:hint="eastAsia" w:ascii="宋体" w:hAnsi="宋体"/>
          <w:b/>
          <w:color w:val="000000"/>
          <w:sz w:val="32"/>
        </w:rPr>
        <w:t>询价须知</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5"/>
        <w:tblW w:w="10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8"/>
        <w:gridCol w:w="4542"/>
        <w:gridCol w:w="748"/>
        <w:gridCol w:w="783"/>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jc w:val="center"/>
        </w:trPr>
        <w:tc>
          <w:tcPr>
            <w:tcW w:w="750" w:type="dxa"/>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498" w:type="dxa"/>
            <w:shd w:val="clear" w:color="auto" w:fill="auto"/>
            <w:noWrap/>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物料</w:t>
            </w:r>
          </w:p>
        </w:tc>
        <w:tc>
          <w:tcPr>
            <w:tcW w:w="4542" w:type="dxa"/>
            <w:shd w:val="clear" w:color="auto" w:fill="auto"/>
            <w:noWrap/>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物料描述</w:t>
            </w:r>
          </w:p>
        </w:tc>
        <w:tc>
          <w:tcPr>
            <w:tcW w:w="748" w:type="dxa"/>
            <w:shd w:val="clear" w:color="auto" w:fill="auto"/>
            <w:noWrap/>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783" w:type="dxa"/>
            <w:shd w:val="clear" w:color="auto" w:fill="auto"/>
            <w:noWrap/>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2554" w:type="dxa"/>
            <w:shd w:val="clear" w:color="auto" w:fill="auto"/>
            <w:noWrap/>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1000054330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内齿线号管\d10\白\PVC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1000076530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内齿线号管\LP-0.5\0.5\红色\阻燃\PVC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1000053269</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内齿线号管\LP-0.5\PVC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1000000996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内齿线号管\LP-0.75\2.0\白色\PVC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1000000997</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内齿线号管\LP-1.0\白色\PVC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1000000998</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内齿线号管\LP-1.5\白色\PVC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1000053270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内齿线号管\LP-1\白\PVC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450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1000000999</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内齿线号管\LP-2.5\3.2\白色\PVC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1000001000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内齿线号管\LP-4\白色\PVC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1000053274</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内齿线号管\LP-6.0\PVC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1000076526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内齿线号管\PL-0.5\0.5\黄色\阻燃\PVC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1000075531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线号管\FD-0.5\2.2\白\PVC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1000005500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TEFLON绝缘套管\21S(d0.81/600V)\d0.81\白\阻燃\聚</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1000001054</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伸缩编织网管\8\阻燃塑料</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1000077464</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白色热缩套管\φ20mm\白色\阻燃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1000001017</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热缩套管\1.2/0.6(1.5/0.75)\白色\聚烯烃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1000001016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热缩套管\1\黑色\PVC</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1000001022</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热缩套管\12.8/6.4(13/6.5)\黑色\聚烯烃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6100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1000001042</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热缩套管\12/6\无色透明\阻燃\聚烯烃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1000001023</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热缩套管\15/7.5\黑色\聚烯烃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1000001024</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热缩套管\18/9.0\黑色\聚烯烃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1000001051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热缩套管\2.0/1.0\黑色\聚烯烃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1000001034</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热缩套管\20/10\无色透明\聚烯烃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1000001032</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热缩套管\25/12.5\黑色\阻燃\聚烯烃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1000001031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热缩套管\25/12.5\红色\聚烯烃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1000001019</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热缩套管\3.6/1.8(3.5/1.75)\黑色\阻燃\聚烯烃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1000001018</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热缩套管\3/1.5(3.2/1.6)\黑色\阻燃\聚烯烃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1000001028</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热缩套管\5/2.5\黄色\阻燃\聚烯烃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1000001020</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热缩套管\6/3.0(6.4/3.2)\黑色\阻燃\聚烯烃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1000001021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热缩套管\9/4.5(9.6/4.8)\黑色\阻燃\聚烯烃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1000001041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热缩套管\9/4.5\黄绿色\聚烯烃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1000001035</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热缩套管\9/4.5\无色透明\阻燃\聚烯烃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1000068091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热缩套管\CGPT1.6/0.8-0\1.6\黑\聚烯烃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1000073646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热缩套管\d14\黄绿色\阻燃\聚烯烃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1000001301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热缩套管\d2.5/1.25(d2.4/1.2)\阻燃\聚烯烃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1000053298</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热缩套管\d3\白\交联聚烯烃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1000053303</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热缩套管\d4\黄\交联聚烯烃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4500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1000000879</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热缩套管\d5/2.5(d4.8/2.4)\黑色\聚烯烃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1000076386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热缩套管\d8\d8\黑色\阻燃\聚烯烃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1000053316</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热缩套管\d8\黑\交联聚烯烃</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1000063381</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热缩套管\RSFR-M-2X-4.0-200M-W\d4\白色\阻燃\交联聚烯</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14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1000062882</w:t>
            </w:r>
          </w:p>
        </w:tc>
        <w:tc>
          <w:tcPr>
            <w:tcW w:w="454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热缩套管\RSFR-M-3X-6.0-100M-W-JY\d6\白色\阻燃\交</w:t>
            </w:r>
          </w:p>
        </w:tc>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20000</w:t>
            </w:r>
          </w:p>
        </w:tc>
        <w:tc>
          <w:tcPr>
            <w:tcW w:w="25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低烟、无卤、阻燃，供货时需附带报告。单壁热缩套管要求收缩后壁厚在0.5至1mm之间，双壁热缩管完全收缩后的壁厚在1至1.5mm之间，厚壁热缩管的壁厚要求在3至5mm。</w:t>
            </w:r>
          </w:p>
        </w:tc>
      </w:tr>
    </w:tbl>
    <w:p>
      <w:pPr>
        <w:widowControl/>
        <w:spacing w:line="360" w:lineRule="auto"/>
        <w:jc w:val="left"/>
        <w:rPr>
          <w:rFonts w:hint="eastAsia" w:ascii="宋体" w:hAnsi="宋体"/>
          <w:b/>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质量及售后服务要求</w:t>
      </w:r>
    </w:p>
    <w:p>
      <w:pPr>
        <w:pStyle w:val="10"/>
        <w:widowControl/>
        <w:numPr>
          <w:ilvl w:val="0"/>
          <w:numId w:val="2"/>
        </w:numPr>
        <w:spacing w:line="360" w:lineRule="auto"/>
        <w:ind w:left="-420" w:leftChars="0" w:firstLineChars="0"/>
        <w:jc w:val="left"/>
        <w:rPr>
          <w:rFonts w:hint="eastAsia" w:ascii="等线" w:hAnsi="等线" w:eastAsiaTheme="minorEastAsia" w:cstheme="minorBidi"/>
          <w:szCs w:val="21"/>
        </w:rPr>
      </w:pPr>
      <w:r>
        <w:rPr>
          <w:rFonts w:hint="eastAsia" w:ascii="等线" w:hAnsi="等线" w:eastAsiaTheme="minorEastAsia" w:cstheme="minorBidi"/>
          <w:szCs w:val="21"/>
          <w:lang w:val="en-US" w:eastAsia="zh-CN"/>
        </w:rPr>
        <w:t>整体要求：</w:t>
      </w:r>
      <w:r>
        <w:rPr>
          <w:rFonts w:hint="eastAsia" w:ascii="等线" w:hAnsi="等线" w:eastAsiaTheme="minorEastAsia" w:cstheme="minorBidi"/>
          <w:szCs w:val="21"/>
        </w:rPr>
        <w:t>以上全部物料必须为原厂生产的全新、未拆封合格产品，品牌规格型号技术参数完全符合采购人要求，不接受任何偏差。</w:t>
      </w:r>
    </w:p>
    <w:p>
      <w:pPr>
        <w:pStyle w:val="10"/>
        <w:widowControl/>
        <w:numPr>
          <w:ilvl w:val="0"/>
          <w:numId w:val="0"/>
        </w:numPr>
        <w:spacing w:line="360" w:lineRule="auto"/>
        <w:jc w:val="left"/>
        <w:rPr>
          <w:rFonts w:hint="eastAsia" w:ascii="等线" w:hAnsi="等线" w:eastAsiaTheme="minorEastAsia" w:cstheme="minorBidi"/>
          <w:szCs w:val="21"/>
        </w:rPr>
      </w:pPr>
      <w:r>
        <w:rPr>
          <w:rFonts w:hint="eastAsia" w:ascii="等线" w:hAnsi="等线" w:eastAsiaTheme="minorEastAsia" w:cstheme="minorBidi"/>
          <w:szCs w:val="21"/>
          <w:lang w:val="en-US" w:eastAsia="zh-CN"/>
        </w:rPr>
        <w:t>二、</w:t>
      </w:r>
      <w:r>
        <w:rPr>
          <w:rFonts w:hint="eastAsia" w:ascii="等线" w:hAnsi="等线" w:eastAsiaTheme="minorEastAsia" w:cstheme="minorBidi"/>
          <w:szCs w:val="21"/>
        </w:rPr>
        <w:t>质量要求</w:t>
      </w:r>
      <w:bookmarkStart w:id="1" w:name="_GoBack"/>
      <w:bookmarkEnd w:id="1"/>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zh-CN"/>
        </w:rPr>
        <w:t>（一）货物要求</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1、</w:t>
      </w:r>
      <w:r>
        <w:rPr>
          <w:rFonts w:hint="eastAsia" w:ascii="等线" w:hAnsi="等线" w:eastAsiaTheme="minorEastAsia" w:cstheme="minorBidi"/>
          <w:szCs w:val="21"/>
          <w:lang w:val="zh-CN"/>
        </w:rPr>
        <w:t>.所有货物必须是在中国范围内合法销售、原装、全新、并完全符合用户要求的产品，符合国家、行业及该产品的出厂标准，供应商需随货物装箱提供制造厂的货物检验、测试报告、货物检验合格证书、质量保证书和保修书等证明文件。如发生所供货物与合同不符，采购人（或使用方）有权拒收或退货，由此产生的一切责任和后果由供应商承担。</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2、</w:t>
      </w:r>
      <w:r>
        <w:rPr>
          <w:rFonts w:hint="eastAsia" w:ascii="等线" w:hAnsi="等线" w:eastAsiaTheme="minorEastAsia" w:cstheme="minorBidi"/>
          <w:szCs w:val="21"/>
          <w:lang w:val="zh-CN"/>
        </w:rPr>
        <w:t>货物外观清洁，标记编号以及盘面显示等字体清晰，明确。</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3、</w:t>
      </w:r>
      <w:r>
        <w:rPr>
          <w:rFonts w:hint="eastAsia" w:ascii="等线" w:hAnsi="等线" w:eastAsiaTheme="minorEastAsia" w:cstheme="minorBidi"/>
          <w:szCs w:val="21"/>
          <w:lang w:val="zh-CN"/>
        </w:rPr>
        <w:t>货物及所有配套件必须完整和可靠。对该货物的正常运行和维护必不可少的部件、配件等，供应商有责任给予补充。</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zh-CN"/>
        </w:rPr>
        <w:t>（二）材料要求</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1、</w:t>
      </w:r>
      <w:r>
        <w:rPr>
          <w:rFonts w:hint="eastAsia" w:ascii="等线" w:hAnsi="等线" w:eastAsiaTheme="minorEastAsia" w:cstheme="minorBidi"/>
          <w:szCs w:val="21"/>
          <w:lang w:val="zh-CN"/>
        </w:rPr>
        <w:t>货物使用的材料应附有出厂合格证明、试验报告，具有法律效力的检测部门出具的检验报告等资料。严格按先试后用原则，并应提供至少一份副本给采购人。</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2、</w:t>
      </w:r>
      <w:r>
        <w:rPr>
          <w:rFonts w:hint="eastAsia" w:ascii="等线" w:hAnsi="等线" w:eastAsiaTheme="minorEastAsia" w:cstheme="minorBidi"/>
          <w:szCs w:val="21"/>
          <w:lang w:val="zh-CN"/>
        </w:rPr>
        <w:t>货物使用的主要材料或货物须提供样品并经采购人确认，符合采购人要求，方可订货使用，经采购人确认无需提供样品的除外。如发现交付的货物与样品不符或有质量问题，采购人有权拒收，供应商须更换与样品同参数规格的材料、货物，由此发生的损失由供应商承担。</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三、</w:t>
      </w:r>
      <w:r>
        <w:rPr>
          <w:rFonts w:hint="eastAsia" w:ascii="等线" w:hAnsi="等线" w:eastAsiaTheme="minorEastAsia" w:cstheme="minorBidi"/>
          <w:szCs w:val="21"/>
          <w:lang w:val="zh-CN"/>
        </w:rPr>
        <w:t>其他要求</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1、</w:t>
      </w:r>
      <w:r>
        <w:rPr>
          <w:rFonts w:hint="eastAsia" w:ascii="等线" w:hAnsi="等线" w:eastAsiaTheme="minorEastAsia" w:cstheme="minorBidi"/>
          <w:szCs w:val="21"/>
          <w:lang w:val="zh-CN"/>
        </w:rPr>
        <w:t>.供应商确认在供货前已充分知晓采购人对货物的具体用途，保证货物使用时满足国家及采购人对货物安全、环保及职业健康等方面要求。</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2、</w:t>
      </w:r>
      <w:r>
        <w:rPr>
          <w:rFonts w:hint="eastAsia" w:ascii="等线" w:hAnsi="等线" w:eastAsiaTheme="minorEastAsia" w:cstheme="minorBidi"/>
          <w:szCs w:val="21"/>
          <w:lang w:val="zh-CN"/>
        </w:rPr>
        <w:t>供应商保证其具备相应货物的生产、销售、维护的许可或资质及能力。所有货物在交货前已完成相关部门必须的检验、商检等，采购人能够直接安全合法使用。</w:t>
      </w:r>
    </w:p>
    <w:p>
      <w:pPr>
        <w:pStyle w:val="10"/>
        <w:widowControl/>
        <w:numPr>
          <w:ilvl w:val="0"/>
          <w:numId w:val="0"/>
        </w:numPr>
        <w:spacing w:line="360" w:lineRule="auto"/>
        <w:jc w:val="left"/>
        <w:rPr>
          <w:rFonts w:hint="eastAsia" w:ascii="等线" w:hAnsi="等线" w:eastAsiaTheme="minorEastAsia" w:cstheme="minorBidi"/>
          <w:szCs w:val="21"/>
        </w:rPr>
      </w:pPr>
      <w:r>
        <w:rPr>
          <w:rFonts w:hint="eastAsia" w:ascii="等线" w:hAnsi="等线" w:eastAsiaTheme="minorEastAsia" w:cstheme="minorBidi"/>
          <w:szCs w:val="21"/>
          <w:lang w:val="en-US" w:eastAsia="zh-CN"/>
        </w:rPr>
        <w:t>四、</w:t>
      </w:r>
      <w:r>
        <w:rPr>
          <w:rFonts w:hint="eastAsia" w:ascii="等线" w:hAnsi="等线" w:eastAsiaTheme="minorEastAsia" w:cstheme="minorBidi"/>
          <w:szCs w:val="21"/>
        </w:rPr>
        <w:t>包装、装运及运输</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1、</w:t>
      </w:r>
      <w:r>
        <w:rPr>
          <w:rFonts w:hint="eastAsia" w:ascii="等线" w:hAnsi="等线" w:eastAsiaTheme="minorEastAsia" w:cstheme="minorBidi"/>
          <w:szCs w:val="21"/>
          <w:lang w:val="zh-CN"/>
        </w:rPr>
        <w:t>供应商负责包装、装运和运输，由于不适当的包装、装运和运输造成货物有任何损坏均由供应商负责。供应商应在货物外包装的显眼位置注明货物基本信息及注意事项或标识。</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2、</w:t>
      </w:r>
      <w:r>
        <w:rPr>
          <w:rFonts w:hint="eastAsia" w:ascii="等线" w:hAnsi="等线" w:eastAsiaTheme="minorEastAsia" w:cstheme="minorBidi"/>
          <w:szCs w:val="21"/>
          <w:lang w:val="zh-CN"/>
        </w:rPr>
        <w:t>包装费、运费及相关费用已包含在合同总金额内。</w:t>
      </w:r>
    </w:p>
    <w:p>
      <w:pPr>
        <w:pStyle w:val="10"/>
        <w:widowControl/>
        <w:numPr>
          <w:ilvl w:val="0"/>
          <w:numId w:val="0"/>
        </w:numPr>
        <w:spacing w:line="360" w:lineRule="auto"/>
        <w:jc w:val="left"/>
        <w:rPr>
          <w:rFonts w:hint="eastAsia" w:ascii="等线" w:hAnsi="等线" w:eastAsiaTheme="minorEastAsia" w:cstheme="minorBidi"/>
          <w:szCs w:val="21"/>
        </w:rPr>
      </w:pPr>
      <w:r>
        <w:rPr>
          <w:rFonts w:hint="eastAsia" w:ascii="等线" w:hAnsi="等线" w:eastAsiaTheme="minorEastAsia" w:cstheme="minorBidi"/>
          <w:szCs w:val="21"/>
          <w:lang w:val="en-US" w:eastAsia="zh-CN"/>
        </w:rPr>
        <w:t>五、</w:t>
      </w:r>
      <w:r>
        <w:rPr>
          <w:rFonts w:hint="eastAsia" w:ascii="等线" w:hAnsi="等线" w:eastAsiaTheme="minorEastAsia" w:cstheme="minorBidi"/>
          <w:szCs w:val="21"/>
        </w:rPr>
        <w:t>质量期与服务要求</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1、</w:t>
      </w:r>
      <w:r>
        <w:rPr>
          <w:rFonts w:hint="eastAsia" w:ascii="等线" w:hAnsi="等线" w:eastAsiaTheme="minorEastAsia" w:cstheme="minorBidi"/>
          <w:szCs w:val="21"/>
          <w:lang w:val="zh-CN"/>
        </w:rPr>
        <w:t>在质量保证期内，因货物出现质量问题不符合合同约定的，供应商应立即无偿修理、更换、赔款或委托采购人安排修理，供应商未按采购人要求及时解决质量问题的，招标人有权另请第三方解决。因解决货物质量问题产生的所有费用均由供应商承担。</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2、</w:t>
      </w:r>
      <w:r>
        <w:rPr>
          <w:rFonts w:hint="eastAsia" w:ascii="等线" w:hAnsi="等线" w:eastAsiaTheme="minorEastAsia" w:cstheme="minorBidi"/>
          <w:szCs w:val="21"/>
          <w:lang w:val="zh-CN"/>
        </w:rPr>
        <w:t>质保金为中标金额的5%，验收合格，且收到全额增值税专用发票入账后一年，且供应商全面履行合同义务后支付。若供应商存在违约责任，招标人有权从中扣除。</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3、</w:t>
      </w:r>
      <w:r>
        <w:rPr>
          <w:rFonts w:hint="eastAsia" w:ascii="等线" w:hAnsi="等线" w:eastAsiaTheme="minorEastAsia" w:cstheme="minorBidi"/>
          <w:szCs w:val="21"/>
          <w:lang w:val="zh-CN"/>
        </w:rPr>
        <w:t>因货物出现质量问题给采购人造成费用或按合同约定供应商需承担违约责任的，采购人有权在质量保证金内优先扣除。质量保证期满且双方经结算无争议的，供应商应及时要求采购人出具质量保证期满证书。</w:t>
      </w:r>
    </w:p>
    <w:p>
      <w:pPr>
        <w:pStyle w:val="10"/>
        <w:widowControl/>
        <w:numPr>
          <w:ilvl w:val="0"/>
          <w:numId w:val="0"/>
        </w:numPr>
        <w:spacing w:line="360" w:lineRule="auto"/>
        <w:jc w:val="left"/>
        <w:rPr>
          <w:rFonts w:hint="eastAsia" w:ascii="等线" w:hAnsi="等线" w:eastAsiaTheme="minorEastAsia" w:cstheme="minorBidi"/>
          <w:szCs w:val="21"/>
          <w:lang w:val="zh-CN"/>
        </w:rPr>
      </w:pPr>
      <w:r>
        <w:rPr>
          <w:rFonts w:hint="eastAsia" w:ascii="等线" w:hAnsi="等线" w:eastAsiaTheme="minorEastAsia" w:cstheme="minorBidi"/>
          <w:szCs w:val="21"/>
          <w:lang w:val="en-US" w:eastAsia="zh-CN"/>
        </w:rPr>
        <w:t>4、</w:t>
      </w:r>
      <w:r>
        <w:rPr>
          <w:rFonts w:hint="eastAsia" w:ascii="等线" w:hAnsi="等线" w:eastAsiaTheme="minorEastAsia" w:cstheme="minorBidi"/>
          <w:szCs w:val="21"/>
          <w:lang w:val="zh-CN"/>
        </w:rPr>
        <w:t>供应商确保具有相应的售后服务能力，包括拥有相应的设备和人员。在质量保证期内，涉及维修的货物，供应商应可随时上门进行维修及检测。因货物质量问题或供应商售后服务不到位导致货物无法正常使用给采购人造成的损失由供应商赔偿，且质量保证期相应顺延。</w:t>
      </w:r>
    </w:p>
    <w:p>
      <w:pPr>
        <w:pStyle w:val="10"/>
        <w:widowControl/>
        <w:numPr>
          <w:ilvl w:val="0"/>
          <w:numId w:val="0"/>
        </w:numPr>
        <w:spacing w:line="360" w:lineRule="auto"/>
        <w:jc w:val="left"/>
        <w:rPr>
          <w:rFonts w:hint="eastAsia" w:ascii="等线" w:hAnsi="等线" w:eastAsiaTheme="minorEastAsia" w:cstheme="minorBidi"/>
          <w:szCs w:val="21"/>
        </w:rPr>
      </w:pPr>
      <w:r>
        <w:rPr>
          <w:rFonts w:hint="eastAsia" w:ascii="等线" w:hAnsi="等线" w:eastAsiaTheme="minorEastAsia" w:cstheme="minorBidi"/>
          <w:szCs w:val="21"/>
          <w:lang w:val="en-US" w:eastAsia="zh-CN"/>
        </w:rPr>
        <w:t>5、</w:t>
      </w:r>
      <w:r>
        <w:rPr>
          <w:rFonts w:hint="eastAsia" w:ascii="等线" w:hAnsi="等线" w:eastAsiaTheme="minorEastAsia" w:cstheme="minorBidi"/>
          <w:szCs w:val="21"/>
          <w:lang w:val="zh-CN"/>
        </w:rPr>
        <w:t>货物为非原材料的，供应商承诺提供设7×24小时免费技术支持；永久性免费提供电话技术指导和咨询服务；提供长期上门维修服务；免费对产品软件进行升级；定期进行设备免费检修。</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报价要求</w:t>
      </w:r>
    </w:p>
    <w:p>
      <w:pPr>
        <w:widowControl/>
        <w:spacing w:line="360" w:lineRule="auto"/>
        <w:ind w:firstLine="420" w:firstLineChars="200"/>
        <w:jc w:val="left"/>
        <w:rPr>
          <w:rFonts w:ascii="宋体" w:hAnsi="宋体"/>
          <w:b/>
        </w:rPr>
      </w:pPr>
      <w:r>
        <w:rPr>
          <w:rFonts w:hint="eastAsia" w:ascii="宋体" w:hAnsi="宋体"/>
          <w:b/>
          <w:color w:val="000000"/>
        </w:rPr>
        <w:t>（1）</w:t>
      </w:r>
      <w:r>
        <w:rPr>
          <w:rFonts w:hint="eastAsia" w:ascii="宋体" w:hAnsi="宋体"/>
          <w:b/>
        </w:rPr>
        <w:t>供应商需对本项目全部物料进行报价。</w:t>
      </w:r>
    </w:p>
    <w:p>
      <w:pPr>
        <w:widowControl/>
        <w:spacing w:line="360" w:lineRule="auto"/>
        <w:ind w:firstLine="420" w:firstLineChars="200"/>
        <w:jc w:val="left"/>
        <w:rPr>
          <w:rFonts w:ascii="等线" w:hAnsi="等线"/>
          <w:szCs w:val="21"/>
        </w:rPr>
      </w:pPr>
      <w:r>
        <w:rPr>
          <w:rFonts w:hint="eastAsia" w:ascii="等线" w:hAnsi="等线"/>
          <w:szCs w:val="21"/>
        </w:rPr>
        <w:t>（</w:t>
      </w:r>
      <w:r>
        <w:rPr>
          <w:rFonts w:ascii="Times New Roman" w:hAnsi="Times New Roman"/>
          <w:bCs/>
          <w:kern w:val="0"/>
          <w:szCs w:val="21"/>
          <w:lang w:val="zh-CN"/>
        </w:rPr>
        <w:t>2</w:t>
      </w:r>
      <w:r>
        <w:rPr>
          <w:rFonts w:hint="eastAsia" w:ascii="等线" w:hAnsi="等线"/>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等线" w:hAnsi="等线"/>
          <w:szCs w:val="21"/>
        </w:rPr>
      </w:pPr>
      <w:bookmarkStart w:id="0" w:name="_Hlk117013315"/>
      <w:r>
        <w:rPr>
          <w:rFonts w:hint="eastAsia" w:ascii="等线" w:hAnsi="等线"/>
          <w:szCs w:val="21"/>
        </w:rPr>
        <w:t>（</w:t>
      </w:r>
      <w:r>
        <w:rPr>
          <w:rFonts w:ascii="Times New Roman" w:hAnsi="Times New Roman"/>
          <w:bCs/>
          <w:kern w:val="0"/>
          <w:szCs w:val="21"/>
          <w:lang w:val="zh-CN"/>
        </w:rPr>
        <w:t>3</w:t>
      </w:r>
      <w:r>
        <w:rPr>
          <w:rFonts w:hint="eastAsia" w:ascii="等线" w:hAnsi="等线"/>
          <w:szCs w:val="21"/>
        </w:rPr>
        <w:t>）</w:t>
      </w:r>
      <w:bookmarkEnd w:id="0"/>
      <w:r>
        <w:rPr>
          <w:rFonts w:hint="eastAsia" w:ascii="等线" w:hAnsi="等线"/>
          <w:szCs w:val="21"/>
        </w:rPr>
        <w:t>供应商报价应包含采购标的、运费、税金及履行本项目所必需的其他全部费用；</w:t>
      </w:r>
    </w:p>
    <w:p>
      <w:pPr>
        <w:widowControl/>
        <w:spacing w:line="360" w:lineRule="auto"/>
        <w:ind w:firstLine="420" w:firstLineChars="200"/>
        <w:jc w:val="left"/>
        <w:rPr>
          <w:rFonts w:ascii="宋体" w:hAnsi="宋体"/>
          <w:b/>
          <w:bCs/>
          <w:color w:val="000000"/>
        </w:rPr>
      </w:pPr>
      <w:r>
        <w:rPr>
          <w:rFonts w:hint="eastAsia" w:ascii="等线" w:hAnsi="等线"/>
          <w:szCs w:val="21"/>
        </w:rPr>
        <w:t>（</w:t>
      </w:r>
      <w:r>
        <w:rPr>
          <w:rFonts w:ascii="等线" w:hAnsi="等线"/>
          <w:szCs w:val="21"/>
        </w:rPr>
        <w:t>4</w:t>
      </w:r>
      <w:r>
        <w:rPr>
          <w:rFonts w:hint="eastAsia" w:ascii="等线" w:hAnsi="等线"/>
          <w:szCs w:val="21"/>
        </w:rPr>
        <w:t>）</w:t>
      </w:r>
      <w:r>
        <w:rPr>
          <w:rFonts w:hint="eastAsia" w:ascii="宋体" w:hAnsi="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ascii="等线" w:hAnsi="等线"/>
          <w:szCs w:val="21"/>
        </w:rPr>
      </w:pPr>
      <w:r>
        <w:rPr>
          <w:rFonts w:hint="eastAsia" w:ascii="等线" w:hAnsi="等线"/>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ascii="等线" w:hAnsi="等线"/>
          <w:szCs w:val="21"/>
        </w:rPr>
      </w:pPr>
      <w:r>
        <w:rPr>
          <w:rFonts w:hint="eastAsia" w:ascii="等线" w:hAnsi="等线"/>
          <w:szCs w:val="21"/>
        </w:rPr>
        <w:t>（</w:t>
      </w:r>
      <w:r>
        <w:rPr>
          <w:rFonts w:ascii="等线" w:hAnsi="等线"/>
          <w:szCs w:val="21"/>
        </w:rPr>
        <w:t>6</w:t>
      </w:r>
      <w:r>
        <w:rPr>
          <w:rFonts w:hint="eastAsia" w:ascii="等线" w:hAnsi="等线"/>
          <w:szCs w:val="21"/>
        </w:rPr>
        <w:t>）</w:t>
      </w:r>
      <w:r>
        <w:rPr>
          <w:rFonts w:hint="eastAsia" w:ascii="宋体" w:hAnsi="宋体"/>
          <w:szCs w:val="21"/>
        </w:rPr>
        <w:t>当供应商最终报价超出采购人可以接受的价格时，</w:t>
      </w:r>
      <w:r>
        <w:rPr>
          <w:rFonts w:hint="eastAsia" w:ascii="等线" w:hAnsi="等线"/>
          <w:szCs w:val="21"/>
        </w:rPr>
        <w:t>谈判将终止。</w:t>
      </w:r>
    </w:p>
    <w:p>
      <w:pPr>
        <w:widowControl/>
        <w:spacing w:line="360" w:lineRule="auto"/>
        <w:ind w:firstLine="420" w:firstLineChars="200"/>
        <w:jc w:val="left"/>
        <w:rPr>
          <w:rFonts w:ascii="宋体" w:hAnsi="宋体"/>
          <w:b/>
          <w:bCs/>
          <w:color w:val="000000"/>
        </w:rPr>
      </w:pPr>
      <w:r>
        <w:rPr>
          <w:rFonts w:hint="eastAsia" w:ascii="宋体" w:hAnsi="宋体"/>
          <w:b/>
          <w:bCs/>
          <w:color w:val="000000"/>
        </w:rPr>
        <w:t>（</w:t>
      </w:r>
      <w:r>
        <w:rPr>
          <w:rFonts w:ascii="宋体" w:hAnsi="宋体"/>
          <w:b/>
          <w:bCs/>
          <w:color w:val="000000"/>
        </w:rPr>
        <w:t>7</w:t>
      </w:r>
      <w:r>
        <w:rPr>
          <w:rFonts w:hint="eastAsia" w:ascii="宋体" w:hAnsi="宋体"/>
          <w:b/>
          <w:bCs/>
          <w:color w:val="000000"/>
        </w:rPr>
        <w:t>）供应商按采购内容数量报价，实际采购数量以采购人签订采购合同/采购订单数量为准。</w:t>
      </w:r>
    </w:p>
    <w:p>
      <w:pPr>
        <w:pStyle w:val="10"/>
        <w:widowControl/>
        <w:numPr>
          <w:ilvl w:val="0"/>
          <w:numId w:val="1"/>
        </w:numPr>
        <w:spacing w:line="360" w:lineRule="auto"/>
        <w:ind w:firstLineChars="0"/>
        <w:jc w:val="left"/>
        <w:rPr>
          <w:rFonts w:ascii="宋体" w:hAnsi="宋体"/>
          <w:szCs w:val="21"/>
        </w:rPr>
      </w:pPr>
      <w:r>
        <w:rPr>
          <w:rFonts w:hint="eastAsia"/>
          <w:b/>
          <w:szCs w:val="21"/>
        </w:rPr>
        <w:t>评审小组</w:t>
      </w:r>
    </w:p>
    <w:p>
      <w:pPr>
        <w:pStyle w:val="10"/>
        <w:widowControl/>
        <w:spacing w:line="360" w:lineRule="auto"/>
        <w:ind w:firstLine="564" w:firstLineChars="269"/>
        <w:jc w:val="left"/>
        <w:rPr>
          <w:rFonts w:ascii="等线" w:hAnsi="等线" w:eastAsiaTheme="minorEastAsia" w:cstheme="minorBidi"/>
          <w:szCs w:val="21"/>
        </w:rPr>
      </w:pPr>
      <w:r>
        <w:rPr>
          <w:rFonts w:hint="eastAsia" w:ascii="等线" w:hAnsi="等线" w:eastAsiaTheme="minorEastAsia" w:cstheme="minorBidi"/>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83"/>
        <w:gridCol w:w="2599"/>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72"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最低价法</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cs="Times New Roman" w:asciiTheme="minorEastAsia" w:hAnsiTheme="minorEastAsia"/>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依法设立的证明材料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Times New Roman"/>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资质要求证明材料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cs="宋体"/>
                <w:color w:val="221E1F"/>
                <w:szCs w:val="21"/>
              </w:rPr>
              <w:t>供应商应提供相关资质证书副本的复印件，以证明供应商具有承担本项目要求的资质，</w:t>
            </w:r>
            <w:r>
              <w:rPr>
                <w:rFonts w:hint="eastAsia" w:ascii="宋体" w:hAnsi="宋体" w:eastAsia="宋体" w:cs="Times New Roman"/>
                <w:szCs w:val="21"/>
              </w:rPr>
              <w:t>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财务要求证明材料</w:t>
            </w:r>
          </w:p>
        </w:tc>
        <w:tc>
          <w:tcPr>
            <w:tcW w:w="2701" w:type="pct"/>
            <w:vAlign w:val="center"/>
          </w:tcPr>
          <w:p>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不适用</w:t>
            </w:r>
          </w:p>
          <w:p>
            <w:pPr>
              <w:autoSpaceDE w:val="0"/>
              <w:autoSpaceDN w:val="0"/>
              <w:spacing w:line="276" w:lineRule="auto"/>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p>
            <w:pPr>
              <w:widowControl/>
              <w:spacing w:line="276" w:lineRule="auto"/>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业绩要求证明材料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合同</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中标通知书/成交通知书</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竣工验收报告/验收证明</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业主证明</w:t>
            </w:r>
          </w:p>
          <w:p>
            <w:pPr>
              <w:autoSpaceDE w:val="0"/>
              <w:autoSpaceDN w:val="0"/>
              <w:spacing w:line="276" w:lineRule="auto"/>
              <w:ind w:firstLine="210" w:firstLineChars="100"/>
              <w:jc w:val="left"/>
              <w:rPr>
                <w:rFonts w:ascii="宋体" w:hAnsi="宋体" w:cs="宋体"/>
                <w:color w:val="221E1F"/>
                <w:szCs w:val="21"/>
                <w:u w:val="single"/>
              </w:rPr>
            </w:pPr>
            <w:r>
              <w:rPr>
                <w:rFonts w:ascii="宋体" w:hAnsi="宋体" w:cs="宋体"/>
                <w:color w:val="221E1F"/>
                <w:szCs w:val="21"/>
              </w:rPr>
              <w:t>□</w:t>
            </w:r>
            <w:r>
              <w:rPr>
                <w:rFonts w:hint="eastAsia" w:ascii="宋体" w:hAnsi="宋体" w:cs="宋体"/>
                <w:color w:val="221E1F"/>
                <w:szCs w:val="21"/>
              </w:rPr>
              <w:t>其他材料：</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业绩证明材料种类要求：</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提供上述勾选的任一项证明材料即可</w:t>
            </w:r>
          </w:p>
          <w:p>
            <w:pPr>
              <w:autoSpaceDE w:val="0"/>
              <w:autoSpaceDN w:val="0"/>
              <w:spacing w:line="276" w:lineRule="auto"/>
              <w:ind w:firstLine="210" w:firstLineChars="100"/>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需同时提供上述勾选的所有证明材料</w:t>
            </w:r>
          </w:p>
          <w:p>
            <w:pPr>
              <w:widowControl/>
              <w:spacing w:line="276" w:lineRule="auto"/>
              <w:ind w:firstLine="210" w:firstLineChars="100"/>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其他要求：</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信誉要求证明材料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jc w:val="left"/>
              <w:rPr>
                <w:rFonts w:ascii="Times New Roman" w:hAnsi="Times New Roman" w:eastAsia="宋体" w:cs="宋体"/>
                <w:color w:val="221E1F"/>
                <w:szCs w:val="21"/>
              </w:rPr>
            </w:pPr>
            <w:r>
              <w:rPr>
                <w:rFonts w:hint="eastAsia" w:ascii="宋体" w:hAnsi="宋体" w:cs="宋体"/>
                <w:color w:val="221E1F"/>
                <w:szCs w:val="21"/>
              </w:rPr>
              <w:t>供应商应提供相关信誉情况的证明材料，包括：</w:t>
            </w:r>
            <w:r>
              <w:rPr>
                <w:rFonts w:hint="eastAsia" w:ascii="Times New Roman" w:hAnsi="Times New Roman" w:eastAsia="宋体" w:cs="宋体"/>
                <w:color w:val="221E1F"/>
                <w:szCs w:val="21"/>
              </w:rPr>
              <w:t>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（2）供应商报价应包含采购标的、运费、税金及履行本项目所必需的其他全部费用。</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ascii="宋体" w:hAnsi="宋体" w:eastAsia="宋体" w:cs="Times New Roman"/>
                <w:szCs w:val="21"/>
              </w:rPr>
            </w:pPr>
            <w:r>
              <w:rPr>
                <w:rFonts w:hint="eastAsia" w:ascii="宋体" w:hAnsi="宋体" w:eastAsia="宋体" w:cs="Times New Roman"/>
                <w:szCs w:val="21"/>
              </w:rPr>
              <w:t>允许偏差的范围：</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p>
          <w:p>
            <w:pPr>
              <w:widowControl/>
              <w:spacing w:line="276" w:lineRule="auto"/>
              <w:jc w:val="left"/>
              <w:rPr>
                <w:rFonts w:ascii="宋体" w:hAnsi="宋体" w:eastAsia="宋体" w:cs="宋体"/>
                <w:kern w:val="0"/>
                <w:szCs w:val="21"/>
              </w:rPr>
            </w:pPr>
            <w:r>
              <w:rPr>
                <w:rFonts w:hint="eastAsia" w:ascii="宋体" w:hAnsi="宋体" w:eastAsia="宋体" w:cs="Times New Roman"/>
                <w:szCs w:val="21"/>
              </w:rPr>
              <w:t>允许偏差的项数：</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r>
              <w:rPr>
                <w:rFonts w:hint="eastAsia" w:ascii="宋体" w:hAnsi="宋体" w:eastAsia="宋体" w:cs="Times New Roman"/>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3.1.1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hint="eastAsia" w:ascii="宋体" w:hAnsi="宋体" w:eastAsia="宋体" w:cs="宋体"/>
                <w:kern w:val="0"/>
                <w:szCs w:val="21"/>
              </w:rPr>
              <w:t>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ascii="宋体" w:hAnsi="宋体" w:eastAsia="宋体" w:cs="仿宋_GB2312"/>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ascii="Times New Roman" w:hAnsi="Times New Roman" w:eastAsia="宋体" w:cs="Times New Roman"/>
                <w:kern w:val="0"/>
                <w:szCs w:val="21"/>
              </w:rPr>
              <w:t>2</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由评审小组抽签决定</w:t>
            </w:r>
          </w:p>
        </w:tc>
      </w:tr>
    </w:tbl>
    <w:p>
      <w:pPr>
        <w:widowControl/>
        <w:spacing w:line="360" w:lineRule="auto"/>
        <w:jc w:val="left"/>
        <w:rPr>
          <w:rFonts w:ascii="宋体" w:hAnsi="宋体"/>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询价文件的澄清</w:t>
      </w:r>
    </w:p>
    <w:p>
      <w:pPr>
        <w:spacing w:line="360" w:lineRule="auto"/>
        <w:ind w:firstLine="210" w:firstLineChars="100"/>
        <w:rPr>
          <w:rFonts w:asciiTheme="minorEastAsia" w:hAnsiTheme="minorEastAsia"/>
          <w:szCs w:val="21"/>
        </w:rPr>
      </w:pPr>
      <w:r>
        <w:rPr>
          <w:rFonts w:hint="eastAsia" w:asciiTheme="minorEastAsia" w:hAnsiTheme="minorEastAsia"/>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asciiTheme="minorEastAsia" w:hAnsiTheme="minorEastAsia"/>
          <w:szCs w:val="21"/>
        </w:rPr>
      </w:pPr>
      <w:r>
        <w:rPr>
          <w:rFonts w:hint="eastAsia" w:ascii="宋体" w:hAnsi="宋体"/>
          <w:b/>
          <w:color w:val="000000"/>
        </w:rPr>
        <w:t>响应文件的澄清</w:t>
      </w:r>
    </w:p>
    <w:p>
      <w:pPr>
        <w:widowControl/>
        <w:spacing w:line="360" w:lineRule="auto"/>
        <w:ind w:firstLine="420" w:firstLineChars="200"/>
        <w:jc w:val="left"/>
        <w:rPr>
          <w:rFonts w:ascii="宋体" w:hAnsi="宋体"/>
          <w:color w:val="000000"/>
        </w:rPr>
      </w:pPr>
      <w:r>
        <w:rPr>
          <w:rFonts w:hint="eastAsia" w:ascii="宋体" w:hAnsi="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ascii="宋体" w:hAnsi="宋体"/>
          <w:color w:val="000000"/>
        </w:rPr>
      </w:pPr>
      <w:r>
        <w:rPr>
          <w:rFonts w:hint="eastAsia" w:ascii="宋体" w:hAnsi="宋体"/>
          <w:color w:val="000000"/>
        </w:rPr>
        <w:t>（1）为采购人不具有独立法人资格的附属机构（单位）；</w:t>
      </w:r>
    </w:p>
    <w:p>
      <w:pPr>
        <w:widowControl/>
        <w:spacing w:line="360" w:lineRule="auto"/>
        <w:jc w:val="left"/>
        <w:rPr>
          <w:rFonts w:ascii="宋体" w:hAnsi="宋体"/>
          <w:color w:val="000000"/>
        </w:rPr>
      </w:pPr>
      <w:r>
        <w:rPr>
          <w:rFonts w:hint="eastAsia" w:ascii="宋体" w:hAnsi="宋体"/>
          <w:color w:val="000000"/>
        </w:rPr>
        <w:t>（2）与本包件的其他供应商为同一个单位负责人；</w:t>
      </w:r>
    </w:p>
    <w:p>
      <w:pPr>
        <w:widowControl/>
        <w:spacing w:line="360" w:lineRule="auto"/>
        <w:jc w:val="left"/>
        <w:rPr>
          <w:rFonts w:ascii="宋体" w:hAnsi="宋体"/>
          <w:color w:val="000000"/>
        </w:rPr>
      </w:pPr>
      <w:r>
        <w:rPr>
          <w:rFonts w:hint="eastAsia" w:ascii="宋体" w:hAnsi="宋体"/>
          <w:color w:val="000000"/>
        </w:rPr>
        <w:t>（3）与本包件的其他供应商存在控股、管理关系；</w:t>
      </w:r>
    </w:p>
    <w:p>
      <w:pPr>
        <w:widowControl/>
        <w:spacing w:line="360" w:lineRule="auto"/>
        <w:jc w:val="left"/>
        <w:rPr>
          <w:rFonts w:ascii="宋体" w:hAnsi="宋体"/>
          <w:color w:val="000000"/>
        </w:rPr>
      </w:pPr>
      <w:r>
        <w:rPr>
          <w:rFonts w:hint="eastAsia" w:ascii="宋体" w:hAnsi="宋体"/>
          <w:color w:val="000000"/>
        </w:rPr>
        <w:t>（4）为本包件的代理机构；</w:t>
      </w:r>
    </w:p>
    <w:p>
      <w:pPr>
        <w:widowControl/>
        <w:spacing w:line="360" w:lineRule="auto"/>
        <w:jc w:val="left"/>
        <w:rPr>
          <w:rFonts w:ascii="宋体" w:hAnsi="宋体"/>
          <w:color w:val="000000"/>
        </w:rPr>
      </w:pPr>
      <w:r>
        <w:rPr>
          <w:rFonts w:hint="eastAsia" w:ascii="宋体" w:hAnsi="宋体"/>
          <w:color w:val="000000"/>
        </w:rPr>
        <w:t>（5）与本包件的代理机构同为一个法定代表人；</w:t>
      </w:r>
    </w:p>
    <w:p>
      <w:pPr>
        <w:widowControl/>
        <w:spacing w:line="360" w:lineRule="auto"/>
        <w:jc w:val="left"/>
        <w:rPr>
          <w:rFonts w:ascii="宋体" w:hAnsi="宋体"/>
          <w:color w:val="000000"/>
        </w:rPr>
      </w:pPr>
      <w:r>
        <w:rPr>
          <w:rFonts w:hint="eastAsia" w:ascii="宋体" w:hAnsi="宋体"/>
          <w:color w:val="000000"/>
        </w:rPr>
        <w:t>（6）与本包件的代理机构存在控股或参股关系；</w:t>
      </w:r>
    </w:p>
    <w:p>
      <w:pPr>
        <w:widowControl/>
        <w:spacing w:line="360" w:lineRule="auto"/>
        <w:jc w:val="left"/>
        <w:rPr>
          <w:rFonts w:ascii="宋体" w:hAnsi="宋体"/>
          <w:color w:val="000000"/>
        </w:rPr>
      </w:pPr>
      <w:r>
        <w:rPr>
          <w:rFonts w:hint="eastAsia" w:ascii="宋体" w:hAnsi="宋体"/>
          <w:color w:val="000000"/>
        </w:rPr>
        <w:t>（7）被依法暂停或取消投标资格；</w:t>
      </w:r>
    </w:p>
    <w:p>
      <w:pPr>
        <w:widowControl/>
        <w:spacing w:line="360" w:lineRule="auto"/>
        <w:jc w:val="left"/>
        <w:rPr>
          <w:rFonts w:ascii="宋体" w:hAnsi="宋体"/>
          <w:color w:val="000000"/>
        </w:rPr>
      </w:pPr>
      <w:r>
        <w:rPr>
          <w:rFonts w:hint="eastAsia" w:ascii="宋体" w:hAnsi="宋体"/>
          <w:color w:val="000000"/>
        </w:rPr>
        <w:t>（8）被责令停产停业、暂扣或者吊销许可证、暂扣或者吊销执照；</w:t>
      </w:r>
    </w:p>
    <w:p>
      <w:pPr>
        <w:widowControl/>
        <w:spacing w:line="360" w:lineRule="auto"/>
        <w:jc w:val="left"/>
        <w:rPr>
          <w:rFonts w:ascii="宋体" w:hAnsi="宋体"/>
          <w:color w:val="000000"/>
        </w:rPr>
      </w:pPr>
      <w:r>
        <w:rPr>
          <w:rFonts w:hint="eastAsia" w:ascii="宋体" w:hAnsi="宋体"/>
          <w:color w:val="000000"/>
        </w:rPr>
        <w:t>（9）进入清算程序，或被宣告破产，或其他丧失履约能力的情形；</w:t>
      </w:r>
    </w:p>
    <w:p>
      <w:pPr>
        <w:widowControl/>
        <w:spacing w:line="360" w:lineRule="auto"/>
        <w:jc w:val="left"/>
        <w:rPr>
          <w:rFonts w:ascii="宋体" w:hAnsi="宋体"/>
          <w:color w:val="000000"/>
        </w:rPr>
      </w:pPr>
      <w:r>
        <w:rPr>
          <w:rFonts w:hint="eastAsia" w:ascii="宋体" w:hAnsi="宋体"/>
          <w:color w:val="000000"/>
        </w:rPr>
        <w:t>（10）在最近三年内发生重大产品质量问题（以相关行业主管部门的行政处罚决定或司法 机关出具的有关法律文书为准）；</w:t>
      </w:r>
    </w:p>
    <w:p>
      <w:pPr>
        <w:widowControl/>
        <w:spacing w:line="360" w:lineRule="auto"/>
        <w:jc w:val="left"/>
        <w:rPr>
          <w:rFonts w:ascii="宋体" w:hAnsi="宋体"/>
          <w:color w:val="000000"/>
        </w:rPr>
      </w:pPr>
      <w:r>
        <w:rPr>
          <w:rFonts w:hint="eastAsia" w:ascii="宋体" w:hAnsi="宋体"/>
          <w:color w:val="000000"/>
        </w:rPr>
        <w:t>（11）被工商行政管理机关在全国企业信用信息公示系统中列入严重违法失信企业名单；</w:t>
      </w:r>
    </w:p>
    <w:p>
      <w:pPr>
        <w:widowControl/>
        <w:spacing w:line="360" w:lineRule="auto"/>
        <w:jc w:val="left"/>
        <w:rPr>
          <w:rFonts w:ascii="宋体" w:hAnsi="宋体"/>
          <w:color w:val="000000"/>
        </w:rPr>
      </w:pPr>
      <w:r>
        <w:rPr>
          <w:rFonts w:hint="eastAsia" w:ascii="宋体" w:hAnsi="宋体"/>
          <w:color w:val="000000"/>
        </w:rPr>
        <w:t>（12）被最高人民法院在“信用中国”网站（www.creditchina.gov.cn）或各级信用信息共享平台中列入失信被执行人名单；</w:t>
      </w:r>
    </w:p>
    <w:p>
      <w:pPr>
        <w:widowControl/>
        <w:spacing w:line="360" w:lineRule="auto"/>
        <w:jc w:val="left"/>
        <w:rPr>
          <w:rFonts w:ascii="宋体" w:hAnsi="宋体"/>
          <w:color w:val="000000"/>
        </w:rPr>
      </w:pPr>
      <w:r>
        <w:rPr>
          <w:rFonts w:hint="eastAsia" w:ascii="宋体" w:hAnsi="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ascii="宋体" w:hAnsi="宋体"/>
          <w:color w:val="000000"/>
        </w:rPr>
      </w:pPr>
      <w:r>
        <w:rPr>
          <w:rFonts w:hint="eastAsia" w:ascii="宋体" w:hAnsi="宋体"/>
          <w:color w:val="000000"/>
        </w:rPr>
        <w:t>（14）法律法规或供应商须知前附表规定的其他情形</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合同授予</w:t>
      </w:r>
    </w:p>
    <w:p>
      <w:pPr>
        <w:widowControl/>
        <w:spacing w:line="360" w:lineRule="auto"/>
        <w:ind w:firstLine="420" w:firstLineChars="200"/>
        <w:jc w:val="left"/>
        <w:rPr>
          <w:rFonts w:ascii="宋体" w:hAnsi="宋体"/>
          <w:color w:val="000000"/>
        </w:rPr>
      </w:pPr>
      <w:r>
        <w:rPr>
          <w:rFonts w:hint="eastAsia" w:ascii="宋体" w:hAnsi="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其他</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监督部门：本询价项目的监督部门为北京铁路信号有限公司纪检监察部，电话：010-51214183，邮箱：</w:t>
      </w:r>
      <w:r>
        <w:fldChar w:fldCharType="begin"/>
      </w:r>
      <w:r>
        <w:instrText xml:space="preserve"> HYPERLINK "mailto:BXJJJC@crsc.cn" </w:instrText>
      </w:r>
      <w:r>
        <w:fldChar w:fldCharType="separate"/>
      </w:r>
      <w:r>
        <w:rPr>
          <w:rFonts w:hint="eastAsia" w:ascii="宋体" w:hAnsi="宋体" w:eastAsia="宋体" w:cs="Times New Roman"/>
          <w:color w:val="0000FF"/>
          <w:u w:val="single"/>
        </w:rPr>
        <w:t>BXJJJC@crsc.cn</w:t>
      </w:r>
      <w:r>
        <w:rPr>
          <w:rFonts w:hint="eastAsia" w:ascii="宋体" w:hAnsi="宋体" w:eastAsia="宋体" w:cs="Times New Roman"/>
          <w:color w:val="0000FF"/>
          <w:u w:val="single"/>
        </w:rPr>
        <w:fldChar w:fldCharType="end"/>
      </w:r>
      <w:r>
        <w:rPr>
          <w:rFonts w:hint="eastAsia" w:ascii="宋体" w:hAnsi="宋体" w:eastAsia="宋体" w:cs="Times New Roman"/>
          <w:color w:val="000000"/>
        </w:rPr>
        <w:t>。</w:t>
      </w:r>
    </w:p>
    <w:p>
      <w:pPr>
        <w:widowControl/>
        <w:spacing w:line="360" w:lineRule="auto"/>
        <w:jc w:val="left"/>
        <w:rPr>
          <w:rFonts w:ascii="宋体" w:hAnsi="宋体"/>
          <w:color w:val="000000"/>
        </w:rPr>
      </w:pPr>
    </w:p>
    <w:p>
      <w:pPr>
        <w:widowControl/>
        <w:spacing w:line="360" w:lineRule="auto"/>
        <w:jc w:val="left"/>
        <w:rPr>
          <w:rFonts w:ascii="宋体" w:hAnsi="宋体"/>
          <w:color w:val="000000"/>
        </w:rPr>
      </w:pPr>
    </w:p>
    <w:p>
      <w:pPr>
        <w:rPr>
          <w:rFonts w:hint="eastAsia"/>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8558"/>
    <w:multiLevelType w:val="singleLevel"/>
    <w:tmpl w:val="00A28558"/>
    <w:lvl w:ilvl="0" w:tentative="0">
      <w:start w:val="1"/>
      <w:numFmt w:val="chineseCounting"/>
      <w:suff w:val="nothing"/>
      <w:lvlText w:val="%1、"/>
      <w:lvlJc w:val="left"/>
      <w:pPr>
        <w:ind w:left="-420"/>
      </w:pPr>
      <w:rPr>
        <w:rFonts w:hint="eastAsia"/>
      </w:rPr>
    </w:lvl>
  </w:abstractNum>
  <w:abstractNum w:abstractNumId="1">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8D02A4"/>
    <w:rsid w:val="008A641C"/>
    <w:rsid w:val="008D02A4"/>
    <w:rsid w:val="00B34BB3"/>
    <w:rsid w:val="00CE1CD1"/>
    <w:rsid w:val="0BDC42D1"/>
    <w:rsid w:val="43D5479E"/>
    <w:rsid w:val="4CB8253E"/>
    <w:rsid w:val="604F6C39"/>
    <w:rsid w:val="69C0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Arial" w:hAnsi="Arial" w:eastAsia="黑体" w:cs="Times New Roman"/>
      <w:b/>
      <w:kern w:val="0"/>
      <w:sz w:val="30"/>
      <w:szCs w:val="20"/>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852</Words>
  <Characters>4857</Characters>
  <Lines>40</Lines>
  <Paragraphs>11</Paragraphs>
  <TotalTime>9</TotalTime>
  <ScaleCrop>false</ScaleCrop>
  <LinksUpToDate>false</LinksUpToDate>
  <CharactersWithSpaces>5698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2024-01-10T01:25:00Z</dcterms:created>
  <dc:creator>牛渊01</dc:creator>
  <cp:lastModifiedBy>测试</cp:lastModifiedBy>
  <dcterms:modified xsi:type="dcterms:W3CDTF">2024-01-25T00:44:14Z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E39A5A3D148D4A638A75CB0008CEE282_12</vt:lpwstr>
  </property>
</Properties>
</file>