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宋体" w:hAnsi="宋体" w:eastAsia="宋体" w:cs="宋体"/>
          <w:color w:val="000000"/>
          <w:sz w:val="22"/>
        </w:rPr>
      </w:pPr>
      <w:bookmarkStart w:id="1" w:name="_GoBack"/>
      <w:bookmarkEnd w:id="1"/>
      <w:r>
        <w:rPr>
          <w:rFonts w:hint="eastAsia" w:ascii="宋体" w:hAnsi="宋体" w:eastAsia="宋体" w:cs="宋体"/>
          <w:color w:val="000000"/>
          <w:sz w:val="22"/>
        </w:rPr>
        <w:t>附件1：询价须知</w:t>
      </w:r>
    </w:p>
    <w:p>
      <w:pPr>
        <w:spacing w:line="360" w:lineRule="auto"/>
        <w:jc w:val="center"/>
        <w:rPr>
          <w:rFonts w:hint="eastAsia" w:ascii="宋体" w:hAnsi="宋体" w:eastAsia="宋体" w:cs="宋体"/>
          <w:b/>
          <w:color w:val="000000"/>
          <w:sz w:val="32"/>
        </w:rPr>
      </w:pPr>
      <w:r>
        <w:rPr>
          <w:rFonts w:hint="eastAsia" w:ascii="宋体" w:hAnsi="宋体" w:eastAsia="宋体" w:cs="宋体"/>
          <w:b/>
          <w:color w:val="000000"/>
          <w:sz w:val="32"/>
        </w:rPr>
        <w:t>询价须知</w:t>
      </w: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采购内容：</w:t>
      </w: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0"/>
        <w:gridCol w:w="5137"/>
        <w:gridCol w:w="1060"/>
        <w:gridCol w:w="848"/>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0" w:type="dxa"/>
            <w:shd w:val="clear" w:color="auto" w:fill="auto"/>
            <w:vAlign w:val="center"/>
          </w:tcPr>
          <w:p>
            <w:pPr>
              <w:jc w:val="center"/>
              <w:rPr>
                <w:rFonts w:hint="eastAsia" w:ascii="宋体" w:hAnsi="宋体" w:eastAsia="宋体" w:cs="宋体"/>
                <w:b/>
                <w:bCs/>
              </w:rPr>
            </w:pPr>
            <w:r>
              <w:rPr>
                <w:rFonts w:hint="eastAsia" w:ascii="宋体" w:hAnsi="宋体" w:eastAsia="宋体" w:cs="宋体"/>
                <w:b/>
                <w:bCs/>
                <w:sz w:val="20"/>
                <w:szCs w:val="20"/>
              </w:rPr>
              <w:t>序号</w:t>
            </w:r>
          </w:p>
        </w:tc>
        <w:tc>
          <w:tcPr>
            <w:tcW w:w="1410" w:type="dxa"/>
            <w:shd w:val="clear" w:color="auto" w:fill="auto"/>
            <w:noWrap/>
            <w:vAlign w:val="center"/>
          </w:tcPr>
          <w:p>
            <w:pPr>
              <w:jc w:val="center"/>
              <w:rPr>
                <w:rFonts w:hint="eastAsia" w:ascii="宋体" w:hAnsi="宋体" w:eastAsia="宋体" w:cs="宋体"/>
                <w:b/>
                <w:bCs/>
              </w:rPr>
            </w:pPr>
            <w:r>
              <w:rPr>
                <w:rFonts w:hint="eastAsia" w:ascii="宋体" w:hAnsi="宋体" w:eastAsia="宋体" w:cs="宋体"/>
                <w:b/>
                <w:bCs/>
                <w:sz w:val="20"/>
                <w:szCs w:val="20"/>
              </w:rPr>
              <w:t>品号</w:t>
            </w:r>
          </w:p>
        </w:tc>
        <w:tc>
          <w:tcPr>
            <w:tcW w:w="5137" w:type="dxa"/>
            <w:shd w:val="clear" w:color="auto" w:fill="auto"/>
            <w:vAlign w:val="center"/>
          </w:tcPr>
          <w:p>
            <w:pPr>
              <w:jc w:val="center"/>
              <w:rPr>
                <w:rFonts w:hint="eastAsia" w:ascii="宋体" w:hAnsi="宋体" w:eastAsia="宋体" w:cs="宋体"/>
                <w:b/>
                <w:bCs/>
              </w:rPr>
            </w:pPr>
            <w:r>
              <w:rPr>
                <w:rFonts w:hint="eastAsia" w:ascii="宋体" w:hAnsi="宋体" w:eastAsia="宋体" w:cs="宋体"/>
                <w:b/>
                <w:bCs/>
                <w:sz w:val="20"/>
                <w:szCs w:val="20"/>
              </w:rPr>
              <w:t>物料规格</w:t>
            </w:r>
          </w:p>
        </w:tc>
        <w:tc>
          <w:tcPr>
            <w:tcW w:w="1060" w:type="dxa"/>
            <w:shd w:val="clear" w:color="auto" w:fill="auto"/>
            <w:vAlign w:val="center"/>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品牌</w:t>
            </w:r>
          </w:p>
        </w:tc>
        <w:tc>
          <w:tcPr>
            <w:tcW w:w="848" w:type="dxa"/>
            <w:shd w:val="clear" w:color="auto" w:fill="auto"/>
            <w:vAlign w:val="center"/>
          </w:tcPr>
          <w:p>
            <w:pPr>
              <w:jc w:val="center"/>
              <w:rPr>
                <w:rFonts w:hint="eastAsia" w:ascii="宋体" w:hAnsi="宋体" w:eastAsia="宋体" w:cs="宋体"/>
                <w:b/>
                <w:bCs/>
              </w:rPr>
            </w:pPr>
            <w:r>
              <w:rPr>
                <w:rFonts w:hint="eastAsia" w:ascii="宋体" w:hAnsi="宋体" w:eastAsia="宋体" w:cs="宋体"/>
                <w:b/>
                <w:bCs/>
                <w:sz w:val="20"/>
                <w:szCs w:val="20"/>
              </w:rPr>
              <w:t>单位</w:t>
            </w:r>
          </w:p>
        </w:tc>
        <w:tc>
          <w:tcPr>
            <w:tcW w:w="1212" w:type="dxa"/>
            <w:shd w:val="clear" w:color="auto" w:fill="auto"/>
            <w:vAlign w:val="center"/>
          </w:tcPr>
          <w:p>
            <w:pPr>
              <w:jc w:val="center"/>
              <w:rPr>
                <w:rFonts w:hint="eastAsia" w:ascii="宋体" w:hAnsi="宋体" w:eastAsia="宋体" w:cs="宋体"/>
                <w:b/>
                <w:bCs/>
              </w:rPr>
            </w:pPr>
            <w:r>
              <w:rPr>
                <w:rFonts w:hint="eastAsia" w:ascii="宋体" w:hAnsi="宋体" w:eastAsia="宋体" w:cs="宋体"/>
                <w:b/>
                <w:bCs/>
                <w:sz w:val="20"/>
                <w:szCs w:val="20"/>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0"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w:t>
            </w:r>
          </w:p>
        </w:tc>
        <w:tc>
          <w:tcPr>
            <w:tcW w:w="1410"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1000002624</w:t>
            </w:r>
          </w:p>
        </w:tc>
        <w:tc>
          <w:tcPr>
            <w:tcW w:w="5137"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聚氯乙烯电缆\ZR-RVVP-300/300\16X0.5(16X0.2)\黑</w:t>
            </w:r>
          </w:p>
        </w:tc>
        <w:tc>
          <w:tcPr>
            <w:tcW w:w="1060"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金山</w:t>
            </w:r>
          </w:p>
        </w:tc>
        <w:tc>
          <w:tcPr>
            <w:tcW w:w="848"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M</w:t>
            </w:r>
          </w:p>
        </w:tc>
        <w:tc>
          <w:tcPr>
            <w:tcW w:w="1212"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0"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w:t>
            </w:r>
          </w:p>
        </w:tc>
        <w:tc>
          <w:tcPr>
            <w:tcW w:w="1410"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1000002633</w:t>
            </w:r>
          </w:p>
        </w:tc>
        <w:tc>
          <w:tcPr>
            <w:tcW w:w="5137"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聚氯乙烯电缆\ZR-RVVP-300/300\2X0.75(24X0.2)\黑</w:t>
            </w:r>
          </w:p>
        </w:tc>
        <w:tc>
          <w:tcPr>
            <w:tcW w:w="1060"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金山</w:t>
            </w:r>
          </w:p>
        </w:tc>
        <w:tc>
          <w:tcPr>
            <w:tcW w:w="848"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M</w:t>
            </w:r>
          </w:p>
        </w:tc>
        <w:tc>
          <w:tcPr>
            <w:tcW w:w="1212"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0"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3</w:t>
            </w:r>
          </w:p>
        </w:tc>
        <w:tc>
          <w:tcPr>
            <w:tcW w:w="1410"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1000002634</w:t>
            </w:r>
          </w:p>
        </w:tc>
        <w:tc>
          <w:tcPr>
            <w:tcW w:w="5137"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聚氯乙烯电缆\ZR-RVVP-300/300\2X2X0.5+7X0.5(16</w:t>
            </w:r>
          </w:p>
        </w:tc>
        <w:tc>
          <w:tcPr>
            <w:tcW w:w="1060"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金山</w:t>
            </w:r>
          </w:p>
        </w:tc>
        <w:tc>
          <w:tcPr>
            <w:tcW w:w="848"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M</w:t>
            </w:r>
          </w:p>
        </w:tc>
        <w:tc>
          <w:tcPr>
            <w:tcW w:w="1212"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0"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4</w:t>
            </w:r>
          </w:p>
        </w:tc>
        <w:tc>
          <w:tcPr>
            <w:tcW w:w="1410"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1000002639</w:t>
            </w:r>
          </w:p>
        </w:tc>
        <w:tc>
          <w:tcPr>
            <w:tcW w:w="5137"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聚氯乙烯电缆\ZR-RVVP-300/300\4X2X0.5+9X0.5(16</w:t>
            </w:r>
          </w:p>
        </w:tc>
        <w:tc>
          <w:tcPr>
            <w:tcW w:w="1060"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金山</w:t>
            </w:r>
          </w:p>
        </w:tc>
        <w:tc>
          <w:tcPr>
            <w:tcW w:w="848"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M</w:t>
            </w:r>
          </w:p>
        </w:tc>
        <w:tc>
          <w:tcPr>
            <w:tcW w:w="1212"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0"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5</w:t>
            </w:r>
          </w:p>
        </w:tc>
        <w:tc>
          <w:tcPr>
            <w:tcW w:w="1410"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1000002623</w:t>
            </w:r>
          </w:p>
        </w:tc>
        <w:tc>
          <w:tcPr>
            <w:tcW w:w="5137"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聚氯乙烯电缆\ZR-RVVP-300/300\15X0.5(16X0.2)\黑</w:t>
            </w:r>
          </w:p>
        </w:tc>
        <w:tc>
          <w:tcPr>
            <w:tcW w:w="1060"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金山</w:t>
            </w:r>
          </w:p>
        </w:tc>
        <w:tc>
          <w:tcPr>
            <w:tcW w:w="848"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M</w:t>
            </w:r>
          </w:p>
        </w:tc>
        <w:tc>
          <w:tcPr>
            <w:tcW w:w="1212"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0"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6</w:t>
            </w:r>
          </w:p>
        </w:tc>
        <w:tc>
          <w:tcPr>
            <w:tcW w:w="1410"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1000005519</w:t>
            </w:r>
          </w:p>
        </w:tc>
        <w:tc>
          <w:tcPr>
            <w:tcW w:w="5137"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聚氯乙烯电缆\ZR-RVVP-300/300\2X0.5(16X0.2)\黑色</w:t>
            </w:r>
          </w:p>
        </w:tc>
        <w:tc>
          <w:tcPr>
            <w:tcW w:w="1060"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金山</w:t>
            </w:r>
          </w:p>
        </w:tc>
        <w:tc>
          <w:tcPr>
            <w:tcW w:w="848" w:type="dxa"/>
            <w:shd w:val="clear" w:color="auto" w:fill="auto"/>
            <w:noWrap/>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M</w:t>
            </w:r>
          </w:p>
        </w:tc>
        <w:tc>
          <w:tcPr>
            <w:tcW w:w="1212" w:type="dxa"/>
            <w:shd w:val="clear" w:color="auto" w:fill="auto"/>
            <w:vAlign w:val="center"/>
          </w:tcPr>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70000</w:t>
            </w:r>
          </w:p>
        </w:tc>
      </w:tr>
    </w:tbl>
    <w:p>
      <w:pPr>
        <w:widowControl/>
        <w:jc w:val="left"/>
        <w:rPr>
          <w:rFonts w:hint="eastAsia" w:ascii="宋体" w:hAnsi="宋体" w:eastAsia="宋体" w:cs="宋体"/>
          <w:b/>
          <w:color w:val="000000"/>
        </w:rPr>
      </w:pP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技术要求、质量及售后服务要求</w:t>
      </w:r>
    </w:p>
    <w:p>
      <w:pPr>
        <w:widowControl w:val="0"/>
        <w:autoSpaceDE w:val="0"/>
        <w:autoSpaceDN w:val="0"/>
        <w:adjustRightInd w:val="0"/>
        <w:spacing w:after="156" w:afterLines="50" w:line="360" w:lineRule="auto"/>
        <w:rPr>
          <w:rFonts w:hint="eastAsia" w:ascii="宋体" w:hAnsi="宋体" w:eastAsia="宋体" w:cs="宋体"/>
          <w:b/>
          <w:color w:val="000000"/>
          <w:sz w:val="21"/>
          <w:szCs w:val="21"/>
          <w:highlight w:val="none"/>
          <w:lang w:val="en-US" w:eastAsia="zh-CN" w:bidi="ar-SA"/>
        </w:rPr>
      </w:pPr>
      <w:r>
        <w:rPr>
          <w:rFonts w:hint="eastAsia" w:ascii="宋体" w:hAnsi="宋体" w:eastAsia="宋体" w:cs="宋体"/>
          <w:b/>
          <w:color w:val="000000"/>
          <w:sz w:val="21"/>
          <w:szCs w:val="21"/>
          <w:highlight w:val="none"/>
          <w:lang w:val="en-US" w:eastAsia="zh-CN" w:bidi="ar-SA"/>
        </w:rPr>
        <w:t xml:space="preserve">1.引用和参考的相关标准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GB/T 4909.2-2009 裸电线试验方法第2部分尺寸测量；</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 2951.11-2008 电缆和光缆绝缘和护套材料通用试验方法第11部分：通用试验方法厚度和外形尺寸测量机械性能试验；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 5013.1-2008 额定电压450/750V及以下橡皮绝缘电缆第1部分：一般要求；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JB/T 8734.1-2012 额定电压450/750V及以下聚氯乙烯绝缘电缆电线和软线 第1部分：一般规定；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JB/T 8734.3-2012 额定电压450/750V及以下聚氯乙烯绝缘电缆电线和软线 第3部分：连接用软电线和软电缆；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 3956-1997 电缆的导体；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GB/T8815-2008 电线电缆用软聚氯乙烯塑料；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GJB 773A-2000 航空航天用含氟聚合物绝缘电线电缆通用规范；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GJB 773A-11A-2000 航空航天用镀锡铜芯聚全氟乙丙烯绝缘电线电缆详细规范；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 3048.4-2007 电线电缆电性能试验方法第4部分：导体直流电阻试验要求；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 3048.5-2007 电线电缆电性能试验方法-绝缘电阻试验；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 3048.8-2007 电线电缆电性能试验方法第8部分：交流电压试验；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 12666.1-2008 单根电线电缆燃烧试验方法第1部分：垂直燃烧试验；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GB/T 18380.34-2008 电缆和光缆在火焰条件下的燃烧试验第34部分：垂直安装的成束电线电缆火焰垂直蔓延试验B类 。</w:t>
      </w:r>
    </w:p>
    <w:p>
      <w:pPr>
        <w:widowControl w:val="0"/>
        <w:autoSpaceDE w:val="0"/>
        <w:autoSpaceDN w:val="0"/>
        <w:adjustRightInd w:val="0"/>
        <w:spacing w:after="156" w:afterLines="50" w:line="360" w:lineRule="auto"/>
        <w:rPr>
          <w:rFonts w:hint="eastAsia" w:ascii="宋体" w:hAnsi="宋体" w:eastAsia="宋体" w:cs="宋体"/>
          <w:b/>
          <w:color w:val="000000"/>
          <w:sz w:val="21"/>
          <w:szCs w:val="21"/>
          <w:highlight w:val="none"/>
          <w:lang w:val="en-US" w:eastAsia="zh-CN" w:bidi="ar-SA"/>
        </w:rPr>
      </w:pPr>
      <w:r>
        <w:rPr>
          <w:rFonts w:hint="eastAsia" w:ascii="宋体" w:hAnsi="宋体" w:eastAsia="宋体" w:cs="宋体"/>
          <w:b/>
          <w:color w:val="000000"/>
          <w:sz w:val="21"/>
          <w:szCs w:val="21"/>
          <w:highlight w:val="none"/>
          <w:lang w:val="en-US" w:eastAsia="zh-CN" w:bidi="ar-SA"/>
        </w:rPr>
        <w:t xml:space="preserve">2.一般要求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（1）电线及电缆线外皮颜色光亮、均匀、无油污、无破损、无伤痕和裂纹。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bCs/>
          <w:color w:val="000000"/>
          <w:sz w:val="24"/>
          <w:szCs w:val="24"/>
          <w:highlight w:val="none"/>
          <w:lang w:val="en-US" w:eastAsia="zh-CN" w:bidi="ar-SA"/>
        </w:rPr>
        <w:t>*</w:t>
      </w:r>
      <w:r>
        <w:rPr>
          <w:rFonts w:hint="eastAsia" w:ascii="宋体" w:hAnsi="宋体" w:eastAsia="宋体" w:cs="宋体"/>
          <w:color w:val="000000"/>
          <w:sz w:val="21"/>
          <w:szCs w:val="21"/>
          <w:highlight w:val="none"/>
          <w:lang w:val="en-US" w:eastAsia="zh-CN" w:bidi="ar-SA"/>
        </w:rPr>
        <w:t xml:space="preserve">（2）电线及电缆线表面印字：型号、规格、电压、制造商。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（3）合格证上内容：制造商名称（拼音或汉字）、型号及规格、额定电压、长度、制造日期。</w:t>
      </w:r>
    </w:p>
    <w:p>
      <w:pPr>
        <w:widowControl w:val="0"/>
        <w:autoSpaceDE w:val="0"/>
        <w:autoSpaceDN w:val="0"/>
        <w:adjustRightInd w:val="0"/>
        <w:spacing w:after="156" w:afterLines="50"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color w:val="000000"/>
          <w:sz w:val="21"/>
          <w:szCs w:val="21"/>
          <w:highlight w:val="none"/>
          <w:lang w:val="en-US" w:eastAsia="zh-CN" w:bidi="ar-SA"/>
        </w:rPr>
        <w:t xml:space="preserve">3.结构尺寸及电性能要求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符合相应规格线缆标准或技术协议要求。 </w:t>
      </w:r>
    </w:p>
    <w:p>
      <w:pPr>
        <w:widowControl w:val="0"/>
        <w:autoSpaceDE w:val="0"/>
        <w:autoSpaceDN w:val="0"/>
        <w:adjustRightInd w:val="0"/>
        <w:spacing w:after="156" w:afterLines="50" w:line="360" w:lineRule="auto"/>
        <w:rPr>
          <w:rFonts w:hint="eastAsia" w:ascii="宋体" w:hAnsi="宋体" w:eastAsia="宋体" w:cs="宋体"/>
          <w:b/>
          <w:color w:val="000000"/>
          <w:sz w:val="21"/>
          <w:szCs w:val="21"/>
          <w:highlight w:val="none"/>
          <w:lang w:val="en-US" w:eastAsia="zh-CN" w:bidi="ar-SA"/>
        </w:rPr>
      </w:pPr>
      <w:r>
        <w:rPr>
          <w:rFonts w:hint="eastAsia" w:ascii="宋体" w:hAnsi="宋体" w:eastAsia="宋体" w:cs="宋体"/>
          <w:b/>
          <w:color w:val="000000"/>
          <w:sz w:val="21"/>
          <w:szCs w:val="21"/>
          <w:highlight w:val="none"/>
          <w:lang w:val="en-US" w:eastAsia="zh-CN" w:bidi="ar-SA"/>
        </w:rPr>
        <w:t>4.环境试验要求</w:t>
      </w:r>
    </w:p>
    <w:p>
      <w:pPr>
        <w:widowControl w:val="0"/>
        <w:autoSpaceDE w:val="0"/>
        <w:autoSpaceDN w:val="0"/>
        <w:adjustRightInd w:val="0"/>
        <w:spacing w:after="156" w:afterLines="50"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（1）可焊性试验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技术要求：电线的焊端经过试验后，焊端表面全部被焊料覆盖，无氧化。 </w:t>
      </w:r>
    </w:p>
    <w:p>
      <w:pPr>
        <w:widowControl w:val="0"/>
        <w:autoSpaceDE w:val="0"/>
        <w:autoSpaceDN w:val="0"/>
        <w:adjustRightInd w:val="0"/>
        <w:spacing w:after="156" w:afterLines="50"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（2）其他试验要求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bCs/>
          <w:color w:val="000000"/>
          <w:sz w:val="24"/>
          <w:szCs w:val="24"/>
          <w:highlight w:val="none"/>
          <w:lang w:val="en-US" w:eastAsia="zh-CN" w:bidi="ar-SA"/>
        </w:rPr>
        <w:t>*</w:t>
      </w:r>
      <w:r>
        <w:rPr>
          <w:rFonts w:hint="eastAsia" w:ascii="宋体" w:hAnsi="宋体" w:eastAsia="宋体" w:cs="宋体"/>
          <w:color w:val="000000"/>
          <w:sz w:val="21"/>
          <w:szCs w:val="21"/>
          <w:highlight w:val="none"/>
          <w:lang w:val="en-US" w:eastAsia="zh-CN" w:bidi="ar-SA"/>
        </w:rPr>
        <w:t>每年必须提供一次线缆试验报告，可以是同系列的一种，注明所参照的试验标准。</w:t>
      </w:r>
    </w:p>
    <w:p>
      <w:pPr>
        <w:widowControl w:val="0"/>
        <w:autoSpaceDE w:val="0"/>
        <w:autoSpaceDN w:val="0"/>
        <w:adjustRightInd w:val="0"/>
        <w:spacing w:after="156" w:afterLines="50" w:line="360" w:lineRule="auto"/>
        <w:rPr>
          <w:rFonts w:hint="eastAsia" w:ascii="宋体" w:hAnsi="宋体" w:eastAsia="宋体" w:cs="宋体"/>
          <w:b/>
          <w:color w:val="000000"/>
          <w:sz w:val="21"/>
          <w:szCs w:val="21"/>
          <w:highlight w:val="none"/>
          <w:lang w:val="en-US" w:eastAsia="zh-CN" w:bidi="ar-SA"/>
        </w:rPr>
      </w:pPr>
      <w:r>
        <w:rPr>
          <w:rFonts w:hint="eastAsia" w:ascii="宋体" w:hAnsi="宋体" w:eastAsia="宋体" w:cs="宋体"/>
          <w:b/>
          <w:color w:val="000000"/>
          <w:sz w:val="21"/>
          <w:szCs w:val="21"/>
          <w:highlight w:val="none"/>
          <w:lang w:val="en-US" w:eastAsia="zh-CN" w:bidi="ar-SA"/>
        </w:rPr>
        <w:t xml:space="preserve">5.包装要求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（1）电线原则上200米一盘，遇到特殊的等阻线可以500米一盘；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bCs/>
          <w:color w:val="000000"/>
          <w:sz w:val="24"/>
          <w:szCs w:val="24"/>
          <w:highlight w:val="none"/>
          <w:lang w:val="en-US" w:eastAsia="zh-CN" w:bidi="ar-SA"/>
        </w:rPr>
        <w:t>*</w:t>
      </w:r>
      <w:r>
        <w:rPr>
          <w:rFonts w:hint="eastAsia" w:ascii="宋体" w:hAnsi="宋体" w:eastAsia="宋体" w:cs="宋体"/>
          <w:color w:val="000000"/>
          <w:sz w:val="21"/>
          <w:szCs w:val="21"/>
          <w:highlight w:val="none"/>
          <w:lang w:val="en-US" w:eastAsia="zh-CN" w:bidi="ar-SA"/>
        </w:rPr>
        <w:t>（2）电缆线成轴交缆，电缆线轴尺寸示意图如图、表所示： .</w:t>
      </w:r>
    </w:p>
    <w:p>
      <w:pPr>
        <w:ind w:firstLine="640" w:firstLineChars="400"/>
        <w:jc w:val="center"/>
        <w:rPr>
          <w:rFonts w:hint="eastAsia" w:ascii="宋体" w:hAnsi="宋体" w:eastAsia="宋体" w:cs="宋体"/>
          <w:sz w:val="16"/>
          <w:szCs w:val="20"/>
          <w:highlight w:val="none"/>
        </w:rPr>
      </w:pPr>
      <w:r>
        <w:rPr>
          <w:rFonts w:hint="eastAsia" w:ascii="宋体" w:hAnsi="宋体" w:eastAsia="宋体" w:cs="宋体"/>
          <w:sz w:val="16"/>
          <w:szCs w:val="20"/>
          <w:highlight w:val="none"/>
        </w:rPr>
        <w:drawing>
          <wp:inline distT="0" distB="0" distL="0" distR="0">
            <wp:extent cx="2050415" cy="1870075"/>
            <wp:effectExtent l="0" t="0" r="6985" b="15875"/>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6" cstate="print"/>
                    <a:stretch>
                      <a:fillRect/>
                    </a:stretch>
                  </pic:blipFill>
                  <pic:spPr>
                    <a:xfrm>
                      <a:off x="0" y="0"/>
                      <a:ext cx="2050415" cy="1870075"/>
                    </a:xfrm>
                    <a:prstGeom prst="rect">
                      <a:avLst/>
                    </a:prstGeom>
                  </pic:spPr>
                </pic:pic>
              </a:graphicData>
            </a:graphic>
          </wp:inline>
        </w:drawing>
      </w:r>
    </w:p>
    <w:p>
      <w:pPr>
        <w:spacing w:line="360" w:lineRule="auto"/>
        <w:ind w:firstLine="840" w:firstLineChars="40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图1 电缆线图示意图</w:t>
      </w:r>
    </w:p>
    <w:p>
      <w:pPr>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表1 电缆线轴技术指标要求</w:t>
      </w:r>
    </w:p>
    <w:tbl>
      <w:tblPr>
        <w:tblStyle w:val="5"/>
        <w:tblpPr w:leftFromText="180" w:rightFromText="180" w:vertAnchor="text" w:horzAnchor="page" w:tblpX="2093" w:tblpY="10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8"/>
        <w:gridCol w:w="3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rPr>
        <w:tc>
          <w:tcPr>
            <w:tcW w:w="3968" w:type="dxa"/>
          </w:tcPr>
          <w:p>
            <w:pPr>
              <w:widowControl w:val="0"/>
              <w:spacing w:before="22"/>
              <w:ind w:left="1017" w:right="1009"/>
              <w:jc w:val="center"/>
              <w:rPr>
                <w:rFonts w:hint="eastAsia" w:ascii="宋体" w:hAnsi="宋体" w:eastAsia="宋体" w:cs="宋体"/>
                <w:b/>
                <w:bCs/>
                <w:kern w:val="2"/>
                <w:sz w:val="18"/>
                <w:szCs w:val="20"/>
                <w:highlight w:val="none"/>
                <w:lang w:val="zh-CN" w:eastAsia="zh-CN" w:bidi="zh-CN"/>
              </w:rPr>
            </w:pPr>
            <w:r>
              <w:rPr>
                <w:rFonts w:hint="eastAsia" w:ascii="宋体" w:hAnsi="宋体" w:eastAsia="宋体" w:cs="宋体"/>
                <w:b/>
                <w:bCs/>
                <w:kern w:val="2"/>
                <w:sz w:val="18"/>
                <w:szCs w:val="20"/>
                <w:highlight w:val="none"/>
                <w:lang w:val="zh-CN" w:eastAsia="zh-CN" w:bidi="zh-CN"/>
              </w:rPr>
              <w:t>规格要求</w:t>
            </w:r>
          </w:p>
        </w:tc>
        <w:tc>
          <w:tcPr>
            <w:tcW w:w="3704" w:type="dxa"/>
          </w:tcPr>
          <w:p>
            <w:pPr>
              <w:widowControl w:val="0"/>
              <w:spacing w:before="22"/>
              <w:ind w:left="1414" w:right="1400"/>
              <w:jc w:val="center"/>
              <w:rPr>
                <w:rFonts w:hint="eastAsia" w:ascii="宋体" w:hAnsi="宋体" w:eastAsia="宋体" w:cs="宋体"/>
                <w:b/>
                <w:bCs/>
                <w:kern w:val="2"/>
                <w:sz w:val="18"/>
                <w:szCs w:val="20"/>
                <w:highlight w:val="none"/>
                <w:lang w:val="zh-CN" w:eastAsia="zh-CN" w:bidi="zh-CN"/>
              </w:rPr>
            </w:pPr>
            <w:r>
              <w:rPr>
                <w:rFonts w:hint="eastAsia" w:ascii="宋体" w:hAnsi="宋体" w:eastAsia="宋体" w:cs="宋体"/>
                <w:b/>
                <w:bCs/>
                <w:kern w:val="2"/>
                <w:sz w:val="18"/>
                <w:szCs w:val="20"/>
                <w:highlight w:val="none"/>
                <w:lang w:val="zh-CN" w:eastAsia="zh-CN" w:bidi="zh-CN"/>
              </w:rPr>
              <w:t>对应尺寸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rPr>
        <w:tc>
          <w:tcPr>
            <w:tcW w:w="3968" w:type="dxa"/>
          </w:tcPr>
          <w:p>
            <w:pPr>
              <w:widowControl w:val="0"/>
              <w:spacing w:before="22"/>
              <w:ind w:left="1018" w:right="1007"/>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最大线轴直径</w:t>
            </w:r>
          </w:p>
        </w:tc>
        <w:tc>
          <w:tcPr>
            <w:tcW w:w="3704" w:type="dxa"/>
          </w:tcPr>
          <w:p>
            <w:pPr>
              <w:widowControl w:val="0"/>
              <w:spacing w:before="22"/>
              <w:ind w:left="1411" w:right="1400"/>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1000mm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4" w:hRule="atLeast"/>
        </w:trPr>
        <w:tc>
          <w:tcPr>
            <w:tcW w:w="3968" w:type="dxa"/>
          </w:tcPr>
          <w:p>
            <w:pPr>
              <w:widowControl w:val="0"/>
              <w:spacing w:before="25"/>
              <w:ind w:left="1018" w:right="1007"/>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最大线轴宽度</w:t>
            </w:r>
          </w:p>
        </w:tc>
        <w:tc>
          <w:tcPr>
            <w:tcW w:w="3704" w:type="dxa"/>
          </w:tcPr>
          <w:p>
            <w:pPr>
              <w:widowControl w:val="0"/>
              <w:spacing w:before="25"/>
              <w:ind w:left="1411" w:right="1400"/>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750mm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2" w:hRule="atLeast"/>
        </w:trPr>
        <w:tc>
          <w:tcPr>
            <w:tcW w:w="3968" w:type="dxa"/>
          </w:tcPr>
          <w:p>
            <w:pPr>
              <w:widowControl w:val="0"/>
              <w:spacing w:before="78"/>
              <w:ind w:left="1018" w:right="1009"/>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最大线轴孔直径范围</w:t>
            </w:r>
          </w:p>
        </w:tc>
        <w:tc>
          <w:tcPr>
            <w:tcW w:w="3704" w:type="dxa"/>
          </w:tcPr>
          <w:p>
            <w:pPr>
              <w:widowControl w:val="0"/>
              <w:spacing w:before="78"/>
              <w:ind w:left="1414" w:right="1400"/>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65～90mm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2" w:hRule="atLeast"/>
        </w:trPr>
        <w:tc>
          <w:tcPr>
            <w:tcW w:w="3968" w:type="dxa"/>
          </w:tcPr>
          <w:p>
            <w:pPr>
              <w:widowControl w:val="0"/>
              <w:spacing w:before="78"/>
              <w:ind w:left="722" w:right="0"/>
              <w:jc w:val="left"/>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最大线轴重量（包含电缆）</w:t>
            </w:r>
          </w:p>
        </w:tc>
        <w:tc>
          <w:tcPr>
            <w:tcW w:w="3704" w:type="dxa"/>
          </w:tcPr>
          <w:p>
            <w:pPr>
              <w:widowControl w:val="0"/>
              <w:spacing w:before="78"/>
              <w:ind w:left="1411" w:right="1400"/>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350kg</w:t>
            </w:r>
          </w:p>
        </w:tc>
      </w:tr>
    </w:tbl>
    <w:p>
      <w:pPr>
        <w:spacing w:before="55"/>
        <w:jc w:val="left"/>
        <w:rPr>
          <w:rFonts w:hint="eastAsia" w:ascii="宋体" w:hAnsi="宋体" w:eastAsia="宋体" w:cs="宋体"/>
          <w:b/>
          <w:sz w:val="22"/>
          <w:szCs w:val="20"/>
          <w:highlight w:val="none"/>
        </w:rPr>
      </w:pPr>
      <w:r>
        <w:rPr>
          <w:rFonts w:hint="eastAsia" w:ascii="宋体" w:hAnsi="宋体" w:eastAsia="宋体" w:cs="宋体"/>
          <w:b/>
          <w:sz w:val="24"/>
          <w:szCs w:val="20"/>
          <w:highlight w:val="none"/>
          <w:lang w:val="en-US" w:eastAsia="zh-CN"/>
        </w:rPr>
        <w:t>三、</w:t>
      </w:r>
      <w:r>
        <w:rPr>
          <w:rFonts w:hint="eastAsia" w:ascii="宋体" w:hAnsi="宋体" w:eastAsia="宋体" w:cs="宋体"/>
          <w:b/>
          <w:sz w:val="22"/>
          <w:szCs w:val="20"/>
          <w:highlight w:val="none"/>
        </w:rPr>
        <w:t>质量</w:t>
      </w:r>
      <w:r>
        <w:rPr>
          <w:rFonts w:hint="eastAsia" w:ascii="宋体" w:hAnsi="宋体" w:eastAsia="宋体" w:cs="宋体"/>
          <w:b/>
          <w:sz w:val="22"/>
          <w:szCs w:val="20"/>
          <w:highlight w:val="none"/>
          <w:lang w:val="en-US" w:eastAsia="zh-CN"/>
        </w:rPr>
        <w:t>服务</w:t>
      </w:r>
      <w:r>
        <w:rPr>
          <w:rFonts w:hint="eastAsia" w:ascii="宋体" w:hAnsi="宋体" w:eastAsia="宋体" w:cs="宋体"/>
          <w:b/>
          <w:sz w:val="22"/>
          <w:szCs w:val="20"/>
          <w:highlight w:val="none"/>
        </w:rPr>
        <w:t>要求</w:t>
      </w:r>
      <w:r>
        <w:rPr>
          <w:rFonts w:hint="eastAsia" w:ascii="宋体" w:hAnsi="宋体" w:eastAsia="宋体" w:cs="宋体"/>
          <w:b/>
          <w:w w:val="99"/>
          <w:sz w:val="22"/>
          <w:szCs w:val="20"/>
          <w:highlight w:val="none"/>
        </w:rPr>
        <w:t xml:space="preserve"> </w:t>
      </w:r>
    </w:p>
    <w:p>
      <w:pPr>
        <w:widowControl w:val="0"/>
        <w:autoSpaceDE w:val="0"/>
        <w:autoSpaceDN w:val="0"/>
        <w:adjustRightInd w:val="0"/>
        <w:spacing w:line="360" w:lineRule="auto"/>
        <w:rPr>
          <w:rFonts w:hint="eastAsia" w:ascii="宋体" w:hAnsi="宋体" w:eastAsia="宋体" w:cs="宋体"/>
          <w:b/>
          <w:color w:val="000000"/>
          <w:sz w:val="21"/>
          <w:szCs w:val="21"/>
          <w:highlight w:val="none"/>
          <w:lang w:val="en-US" w:eastAsia="zh-CN" w:bidi="ar-SA"/>
        </w:rPr>
      </w:pPr>
      <w:r>
        <w:rPr>
          <w:rFonts w:hint="eastAsia" w:ascii="宋体" w:hAnsi="宋体" w:eastAsia="宋体" w:cs="宋体"/>
          <w:b/>
          <w:color w:val="000000"/>
          <w:sz w:val="21"/>
          <w:szCs w:val="21"/>
          <w:highlight w:val="none"/>
          <w:lang w:val="en-US" w:eastAsia="zh-CN" w:bidi="ar-SA"/>
        </w:rPr>
        <w:t>1.质量要求</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bCs/>
          <w:color w:val="000000"/>
          <w:sz w:val="24"/>
          <w:szCs w:val="24"/>
          <w:highlight w:val="none"/>
          <w:lang w:val="en-US" w:eastAsia="zh-CN" w:bidi="ar-SA"/>
        </w:rPr>
        <w:t>**</w:t>
      </w:r>
      <w:r>
        <w:rPr>
          <w:rFonts w:hint="eastAsia" w:ascii="宋体" w:hAnsi="宋体" w:eastAsia="宋体" w:cs="宋体"/>
          <w:color w:val="000000"/>
          <w:sz w:val="21"/>
          <w:szCs w:val="21"/>
          <w:highlight w:val="none"/>
          <w:lang w:val="en-US" w:eastAsia="zh-CN" w:bidi="ar-SA"/>
        </w:rPr>
        <w:t>（1）线缆来料检验合格率100%。</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bCs/>
          <w:color w:val="000000"/>
          <w:sz w:val="24"/>
          <w:szCs w:val="24"/>
          <w:highlight w:val="none"/>
          <w:lang w:val="en-US" w:eastAsia="zh-CN" w:bidi="ar-SA"/>
        </w:rPr>
        <w:t>**</w:t>
      </w:r>
      <w:r>
        <w:rPr>
          <w:rFonts w:hint="eastAsia" w:ascii="宋体" w:hAnsi="宋体" w:eastAsia="宋体" w:cs="宋体"/>
          <w:color w:val="000000"/>
          <w:sz w:val="21"/>
          <w:szCs w:val="21"/>
          <w:highlight w:val="none"/>
          <w:lang w:val="en-US" w:eastAsia="zh-CN" w:bidi="ar-SA"/>
        </w:rPr>
        <w:t xml:space="preserve">（2）线缆使用寿命15年。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bCs/>
          <w:color w:val="000000"/>
          <w:sz w:val="24"/>
          <w:szCs w:val="24"/>
          <w:highlight w:val="none"/>
          <w:lang w:val="en-US" w:eastAsia="zh-CN" w:bidi="ar-SA"/>
        </w:rPr>
        <w:t>**</w:t>
      </w:r>
      <w:r>
        <w:rPr>
          <w:rFonts w:hint="eastAsia" w:ascii="宋体" w:hAnsi="宋体" w:eastAsia="宋体" w:cs="宋体"/>
          <w:color w:val="000000"/>
          <w:sz w:val="21"/>
          <w:szCs w:val="21"/>
          <w:highlight w:val="none"/>
          <w:lang w:val="en-US" w:eastAsia="zh-CN" w:bidi="ar-SA"/>
        </w:rPr>
        <w:t>（3）供货批次要求：供应商需提供据当前供应时间15个月内批次的物料。</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4）所有货物必须是在中国范围内合法销售、原装、全新、并完全符合用户要求的产品，符合国家、行业及该产品的出厂标准，中标人需随货物装箱提供制造厂的货物检验、测试报告、货物检验合格证书、质量保证书和保修书等证明文件。如发生所供货物与合同不符，采购人（或使用方）有权拒收或退货，由此产生的一切责任和后果由中标人承担。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（5）货物外观清洁，标记编号以及盘面显示等字体清晰，明确。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（6）货物及所有配套件必须完整和可靠。对该货物的正常运行和维护必不可少的部件、配件等，中标人有责任给予补充。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2.材料要求</w:t>
      </w:r>
      <w:r>
        <w:rPr>
          <w:rFonts w:hint="eastAsia" w:ascii="宋体" w:hAnsi="宋体" w:eastAsia="宋体" w:cs="宋体"/>
          <w:color w:val="000000"/>
          <w:kern w:val="0"/>
          <w:sz w:val="21"/>
          <w:szCs w:val="21"/>
          <w:highlight w:val="none"/>
          <w:lang w:val="en-US" w:eastAsia="zh-CN" w:bidi="ar-SA"/>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（1）货物使用的材料应附有出厂合格证明、试验报告，具有法律效力的检测部门出具的检验报告等资料。严格按先试后用原则，并应提供至少一份副本给采购人。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2）货物使用的主要材料或货物须提供样品并经采购人确认，符合采购人要求，方可订货使用，经采购人确认无需提供样品的除外。如发现交付的货物与样品不符或有质量问题，采购人有权拒收，中标人须更换与样品同参数规格的材料、货物，由此发生的损失由中标人承担。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3.其他要求</w:t>
      </w:r>
      <w:r>
        <w:rPr>
          <w:rFonts w:hint="eastAsia" w:ascii="宋体" w:hAnsi="宋体" w:eastAsia="宋体" w:cs="宋体"/>
          <w:color w:val="000000"/>
          <w:kern w:val="0"/>
          <w:sz w:val="21"/>
          <w:szCs w:val="21"/>
          <w:highlight w:val="none"/>
          <w:lang w:val="en-US" w:eastAsia="zh-CN" w:bidi="ar-SA"/>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（1）中标人确认在供货前已充分知晓采购人对货物的具体用途，保证货物使用时满足国家及采购人对货物安全、环保及职业健康等方面要求。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（2）中标人保证其具备相应货物的生产、销售、维护的许可或资质及能力。所有货物在交货前已完成相关部门必须的检验、商检等，采购人能够直接安全合法使用。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4.包装、装运及运输</w:t>
      </w:r>
      <w:r>
        <w:rPr>
          <w:rFonts w:hint="eastAsia" w:ascii="宋体" w:hAnsi="宋体" w:eastAsia="宋体" w:cs="宋体"/>
          <w:color w:val="000000"/>
          <w:kern w:val="0"/>
          <w:sz w:val="21"/>
          <w:szCs w:val="21"/>
          <w:highlight w:val="none"/>
          <w:lang w:val="en-US" w:eastAsia="zh-CN" w:bidi="ar-SA"/>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（1）中标人负责包装、装运和运输，由于不适当的包装、装运和运输造成货物有任何损坏均由中标人负责。中标人应在货物外包装的显 眼位置注明货物基本信息及注意事项或标识。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（2）包装费、运费及相关费用已包含在合同总金额内。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5.质量期与服务要求</w:t>
      </w:r>
      <w:r>
        <w:rPr>
          <w:rFonts w:hint="eastAsia" w:ascii="宋体" w:hAnsi="宋体" w:eastAsia="宋体" w:cs="宋体"/>
          <w:color w:val="000000"/>
          <w:kern w:val="0"/>
          <w:sz w:val="21"/>
          <w:szCs w:val="21"/>
          <w:highlight w:val="none"/>
          <w:lang w:val="en-US" w:eastAsia="zh-CN" w:bidi="ar-SA"/>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1）在质量保证期内，因货物出现质量问题不符合合同约定的，中标人应立即无偿修理、更换、赔款或委托采购人安排修理，中标人未按采购人要求及时解决质量问题的，招标人有权另请第三方解决。因解决货物质量问题产生的所有费用均由中标人承担。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（2）质保金为中标金额的5%，验收合格，且收到全额增值税专用发票入账后一年，且中标人全面履行合同义务后支付。若中标人存在违约责任，招标人有权从中扣除。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3）因货物出现质量问题给采购人造成费用或按合同约定中标人需承担违约责任的，采购人有权在质量保证金内优先扣除。质量保证期满且双方经结算无争议的，中标人应及时要求采购人出具质量保证期满证书。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4）中标人确保具有相应的售后服务能力，包括拥有相应的设备和人员。在质量保证期内，涉及维修的货物，中标人应可随时上门进行维修及检测。因货物质量问题或中标人售后服务不到位导致货物无法正常使用给采购人造成的损失由中标人赔偿，且质量保证期相应顺延。 </w:t>
      </w:r>
    </w:p>
    <w:p>
      <w:pPr>
        <w:keepNext w:val="0"/>
        <w:keepLines w:val="0"/>
        <w:widowControl/>
        <w:suppressLineNumbers w:val="0"/>
        <w:spacing w:line="360" w:lineRule="auto"/>
        <w:jc w:val="left"/>
        <w:rPr>
          <w:rFonts w:hint="eastAsia" w:ascii="宋体" w:hAnsi="宋体" w:eastAsia="宋体" w:cs="宋体"/>
          <w:b/>
          <w:color w:val="auto"/>
          <w:kern w:val="2"/>
          <w:sz w:val="22"/>
          <w:szCs w:val="20"/>
          <w:highlight w:val="none"/>
          <w:lang w:val="en-US" w:eastAsia="zh-CN" w:bidi="ar-SA"/>
        </w:rPr>
      </w:pPr>
      <w:r>
        <w:rPr>
          <w:rFonts w:hint="eastAsia" w:ascii="宋体" w:hAnsi="宋体" w:eastAsia="宋体" w:cs="宋体"/>
          <w:color w:val="000000"/>
          <w:kern w:val="0"/>
          <w:sz w:val="21"/>
          <w:szCs w:val="21"/>
          <w:highlight w:val="none"/>
          <w:lang w:val="en-US" w:eastAsia="zh-CN" w:bidi="ar-SA"/>
        </w:rPr>
        <w:t>（5）货物为非原材料的，中标人承诺提供设 7X24 小时免费技术支持；永久性免费提供电话技术指导和咨询服务；提供长期上门维修服务；免费对产品软件进行升级；定期进行设备免费检修。</w:t>
      </w:r>
      <w:r>
        <w:rPr>
          <w:rFonts w:hint="eastAsia" w:ascii="宋体" w:hAnsi="宋体" w:eastAsia="宋体" w:cs="宋体"/>
          <w:color w:val="000000"/>
          <w:kern w:val="0"/>
          <w:sz w:val="22"/>
          <w:szCs w:val="22"/>
          <w:highlight w:val="none"/>
          <w:lang w:val="en-US" w:eastAsia="zh-CN" w:bidi="ar"/>
        </w:rPr>
        <w:t xml:space="preserve"> </w:t>
      </w:r>
    </w:p>
    <w:p>
      <w:pPr>
        <w:spacing w:line="360" w:lineRule="auto"/>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rPr>
        <w:t>注：</w:t>
      </w:r>
      <w:r>
        <w:rPr>
          <w:rFonts w:hint="eastAsia" w:ascii="宋体" w:hAnsi="宋体" w:eastAsia="宋体" w:cs="宋体"/>
          <w:b/>
          <w:bCs w:val="0"/>
          <w:sz w:val="21"/>
          <w:szCs w:val="21"/>
          <w:highlight w:val="none"/>
          <w:lang w:val="en-US" w:eastAsia="zh-CN"/>
        </w:rPr>
        <w:t>本章技术及质量服务要求中</w:t>
      </w:r>
      <w:r>
        <w:rPr>
          <w:rFonts w:hint="eastAsia" w:ascii="宋体" w:hAnsi="宋体" w:eastAsia="宋体" w:cs="宋体"/>
          <w:b/>
          <w:bCs w:val="0"/>
          <w:color w:val="auto"/>
          <w:sz w:val="21"/>
          <w:szCs w:val="21"/>
          <w:highlight w:val="none"/>
        </w:rPr>
        <w:t>*为偏离项，**为必须满足项</w:t>
      </w:r>
      <w:r>
        <w:rPr>
          <w:rFonts w:hint="eastAsia" w:ascii="宋体" w:hAnsi="宋体" w:eastAsia="宋体" w:cs="宋体"/>
          <w:b/>
          <w:bCs w:val="0"/>
          <w:color w:val="auto"/>
          <w:sz w:val="21"/>
          <w:szCs w:val="21"/>
          <w:highlight w:val="none"/>
          <w:lang w:eastAsia="zh-CN"/>
        </w:rPr>
        <w:t>。</w:t>
      </w: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报价要求</w:t>
      </w:r>
    </w:p>
    <w:p>
      <w:pPr>
        <w:widowControl/>
        <w:spacing w:line="360" w:lineRule="auto"/>
        <w:ind w:firstLine="422" w:firstLineChars="200"/>
        <w:jc w:val="left"/>
        <w:rPr>
          <w:rFonts w:hint="eastAsia" w:ascii="宋体" w:hAnsi="宋体" w:eastAsia="宋体" w:cs="宋体"/>
          <w:b/>
        </w:rPr>
      </w:pPr>
      <w:r>
        <w:rPr>
          <w:rFonts w:hint="eastAsia" w:ascii="宋体" w:hAnsi="宋体" w:eastAsia="宋体" w:cs="宋体"/>
          <w:b/>
          <w:color w:val="000000"/>
        </w:rPr>
        <w:t>（1）</w:t>
      </w:r>
      <w:r>
        <w:rPr>
          <w:rFonts w:hint="eastAsia" w:ascii="宋体" w:hAnsi="宋体" w:eastAsia="宋体" w:cs="宋体"/>
          <w:b/>
        </w:rPr>
        <w:t>供应商需对本项目全部物料进行报价。</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Cs/>
          <w:kern w:val="0"/>
          <w:szCs w:val="21"/>
          <w:lang w:val="zh-CN"/>
        </w:rPr>
        <w:t>2</w:t>
      </w:r>
      <w:r>
        <w:rPr>
          <w:rFonts w:hint="eastAsia" w:ascii="宋体" w:hAnsi="宋体" w:eastAsia="宋体" w:cs="宋体"/>
          <w:szCs w:val="21"/>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hint="eastAsia" w:ascii="宋体" w:hAnsi="宋体" w:eastAsia="宋体" w:cs="宋体"/>
          <w:szCs w:val="21"/>
        </w:rPr>
      </w:pPr>
      <w:bookmarkStart w:id="0" w:name="_Hlk117013315"/>
      <w:r>
        <w:rPr>
          <w:rFonts w:hint="eastAsia" w:ascii="宋体" w:hAnsi="宋体" w:eastAsia="宋体" w:cs="宋体"/>
          <w:szCs w:val="21"/>
        </w:rPr>
        <w:t>（</w:t>
      </w:r>
      <w:r>
        <w:rPr>
          <w:rFonts w:hint="eastAsia" w:ascii="宋体" w:hAnsi="宋体" w:eastAsia="宋体" w:cs="宋体"/>
          <w:bCs/>
          <w:kern w:val="0"/>
          <w:szCs w:val="21"/>
          <w:lang w:val="zh-CN"/>
        </w:rPr>
        <w:t>3</w:t>
      </w:r>
      <w:r>
        <w:rPr>
          <w:rFonts w:hint="eastAsia" w:ascii="宋体" w:hAnsi="宋体" w:eastAsia="宋体" w:cs="宋体"/>
          <w:szCs w:val="21"/>
        </w:rPr>
        <w:t>）</w:t>
      </w:r>
      <w:bookmarkEnd w:id="0"/>
      <w:r>
        <w:rPr>
          <w:rFonts w:hint="eastAsia" w:ascii="宋体" w:hAnsi="宋体" w:eastAsia="宋体" w:cs="宋体"/>
          <w:szCs w:val="21"/>
        </w:rPr>
        <w:t>供应商报价应包含采购标的、运费、税金及履行本项目所必需的其他全部费用；</w:t>
      </w:r>
    </w:p>
    <w:p>
      <w:pPr>
        <w:widowControl/>
        <w:spacing w:line="360" w:lineRule="auto"/>
        <w:ind w:firstLine="420" w:firstLineChars="200"/>
        <w:jc w:val="left"/>
        <w:rPr>
          <w:rFonts w:hint="eastAsia" w:ascii="宋体" w:hAnsi="宋体" w:eastAsia="宋体" w:cs="宋体"/>
          <w:b/>
          <w:bCs/>
          <w:color w:val="000000"/>
        </w:rPr>
      </w:pPr>
      <w:r>
        <w:rPr>
          <w:rFonts w:hint="eastAsia" w:ascii="宋体" w:hAnsi="宋体" w:eastAsia="宋体" w:cs="宋体"/>
          <w:szCs w:val="21"/>
        </w:rPr>
        <w:t>（4）</w:t>
      </w:r>
      <w:r>
        <w:rPr>
          <w:rFonts w:hint="eastAsia" w:ascii="宋体" w:hAnsi="宋体" w:eastAsia="宋体" w:cs="宋体"/>
          <w:b/>
          <w:bCs/>
          <w:color w:val="000000"/>
        </w:rPr>
        <w:t>询价原则上为一次性报价，但采购人有权发起议价。若采购人决定发起议价，供应商应在规定地点、规定时间内进行响应。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文件。</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本项目议价轮次：不超过3轮。议价是指采购人组建评审小组与响应采购的供应商进行一轮或多轮交流谈判并对供应商递交的响应文件进行评审，采购人根据评审小组最终谈判结果及其评审结论，选择确定成交供应商的采购方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（6）当供应商最终报价超出采购人可以接受的价格时，谈判将终止。</w:t>
      </w:r>
    </w:p>
    <w:p>
      <w:pPr>
        <w:widowControl/>
        <w:spacing w:line="360" w:lineRule="auto"/>
        <w:ind w:firstLine="422" w:firstLineChars="200"/>
        <w:jc w:val="left"/>
        <w:rPr>
          <w:rFonts w:hint="eastAsia" w:ascii="宋体" w:hAnsi="宋体" w:eastAsia="宋体" w:cs="宋体"/>
          <w:b/>
          <w:bCs/>
          <w:color w:val="000000"/>
        </w:rPr>
      </w:pPr>
      <w:r>
        <w:rPr>
          <w:rFonts w:hint="eastAsia" w:ascii="宋体" w:hAnsi="宋体" w:eastAsia="宋体" w:cs="宋体"/>
          <w:b/>
          <w:bCs/>
          <w:color w:val="000000"/>
        </w:rPr>
        <w:t>（7）供应商按采购内容数量报价，实际采购数量以采购人签订采购合同/采购订单数量为准。</w:t>
      </w:r>
    </w:p>
    <w:p>
      <w:pPr>
        <w:pStyle w:val="10"/>
        <w:widowControl/>
        <w:numPr>
          <w:ilvl w:val="0"/>
          <w:numId w:val="1"/>
        </w:numPr>
        <w:spacing w:line="360" w:lineRule="auto"/>
        <w:ind w:firstLineChars="0"/>
        <w:jc w:val="left"/>
        <w:rPr>
          <w:rFonts w:hint="eastAsia" w:ascii="宋体" w:hAnsi="宋体" w:eastAsia="宋体" w:cs="宋体"/>
          <w:szCs w:val="21"/>
        </w:rPr>
      </w:pPr>
      <w:r>
        <w:rPr>
          <w:rFonts w:hint="eastAsia" w:ascii="宋体" w:hAnsi="宋体" w:eastAsia="宋体" w:cs="宋体"/>
          <w:b/>
          <w:szCs w:val="21"/>
        </w:rPr>
        <w:t>评审小组</w:t>
      </w:r>
    </w:p>
    <w:p>
      <w:pPr>
        <w:pStyle w:val="10"/>
        <w:widowControl/>
        <w:spacing w:line="360" w:lineRule="auto"/>
        <w:ind w:firstLine="564" w:firstLineChars="269"/>
        <w:jc w:val="left"/>
        <w:rPr>
          <w:rFonts w:hint="eastAsia" w:ascii="宋体" w:hAnsi="宋体" w:eastAsia="宋体" w:cs="宋体"/>
          <w:szCs w:val="21"/>
        </w:rPr>
      </w:pPr>
      <w:r>
        <w:rPr>
          <w:rFonts w:hint="eastAsia" w:ascii="宋体" w:hAnsi="宋体" w:eastAsia="宋体" w:cs="宋体"/>
          <w:szCs w:val="21"/>
        </w:rPr>
        <w:t>采购人依据项目的复杂程度和技术要求成立评审小组，评审小组由技术、商务、采购等方面的三人及以上的单数组成。</w:t>
      </w: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评审办法</w:t>
      </w:r>
    </w:p>
    <w:tbl>
      <w:tblPr>
        <w:tblStyle w:val="5"/>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60"/>
        <w:gridCol w:w="2576"/>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926" w:type="pct"/>
            <w:gridSpan w:val="2"/>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条款号及名称</w:t>
            </w:r>
          </w:p>
        </w:tc>
        <w:tc>
          <w:tcPr>
            <w:tcW w:w="1373"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评审因素</w:t>
            </w:r>
          </w:p>
        </w:tc>
        <w:tc>
          <w:tcPr>
            <w:tcW w:w="2701"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5"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572"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评审办法</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评审办法</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kern w:val="0"/>
                <w:szCs w:val="21"/>
              </w:rPr>
              <w:t>最低价法</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2.1.1</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形式评审标准</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供应商名称</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响应文件签字盖章</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响应文件格式</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响应文件的编制</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响应文件应尽量避免涂改、行间插字或删除。如果出现上述情况，改动之处应由供应商的法定代表人（单位负责人）或其授权的代理人签字或加盖单位章。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响应文件份数</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提供电子版响应文件的形式：电子版1份，须提供完整的响应文件扫描件PDF（须签字盖章）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响应文件内容的完整性</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r>
              <w:rPr>
                <w:rFonts w:hint="eastAsia" w:ascii="宋体" w:hAnsi="宋体" w:eastAsia="宋体" w:cs="宋体"/>
                <w:szCs w:val="21"/>
              </w:rPr>
              <w:t>响应文件应当对询价文件有关交货期、交货地点、响应文件有效期、技术标准和要求等实质性内容作出响应。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报价唯一</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只能有一个有效报价（采购文件要求有备选方案的除外）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2.1.2</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资格评审标准</w:t>
            </w: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依法设立的证明材料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供应商应提供市场监管部门或其他行政机关颁发的可以合法开展业务的执照、安全生产许可证或证书复印件，并</w:t>
            </w:r>
            <w:r>
              <w:rPr>
                <w:rFonts w:hint="eastAsia" w:ascii="宋体" w:hAnsi="宋体" w:eastAsia="宋体" w:cs="宋体"/>
                <w:kern w:val="0"/>
                <w:szCs w:val="21"/>
              </w:rPr>
              <w:t>符合询价公告中的3.供应商资格要求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资质要求证明材料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供应商应提供相关资质证书副本的复印件，以证明供应商具有承担本项目要求的资质，</w:t>
            </w:r>
            <w:r>
              <w:rPr>
                <w:rFonts w:hint="eastAsia" w:ascii="宋体" w:hAnsi="宋体" w:eastAsia="宋体" w:cs="宋体"/>
                <w:szCs w:val="21"/>
              </w:rPr>
              <w:t>并</w:t>
            </w:r>
            <w:r>
              <w:rPr>
                <w:rFonts w:hint="eastAsia" w:ascii="宋体" w:hAnsi="宋体" w:eastAsia="宋体" w:cs="宋体"/>
                <w:kern w:val="0"/>
                <w:szCs w:val="21"/>
              </w:rPr>
              <w:t>符合询价公告中的3.供应商资格要求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财务要求证明材料</w:t>
            </w:r>
          </w:p>
        </w:tc>
        <w:tc>
          <w:tcPr>
            <w:tcW w:w="2701" w:type="pct"/>
            <w:vAlign w:val="center"/>
          </w:tcPr>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□不适用</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适用。供应商应提供经会计师事务所或审计机构审计的近年财务会计报表复印件，包括资产负债表、现金流量表、利润表等。近年财务会计报表年份是指：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3.供应商资格要求</w:t>
            </w:r>
            <w:r>
              <w:rPr>
                <w:rFonts w:hint="eastAsia" w:ascii="宋体" w:hAnsi="宋体" w:eastAsia="宋体" w:cs="宋体"/>
                <w:color w:val="221E1F"/>
                <w:szCs w:val="21"/>
              </w:rPr>
              <w:t xml:space="preserve"> 规定的年份</w:t>
            </w:r>
            <w:r>
              <w:rPr>
                <w:rFonts w:hint="eastAsia" w:ascii="宋体" w:hAnsi="宋体" w:eastAsia="宋体" w:cs="宋体"/>
                <w:szCs w:val="21"/>
              </w:rPr>
              <w:t>（供应商的成立时间少于该规定年份的，应提供成立以来的财务会计报表）</w:t>
            </w:r>
          </w:p>
          <w:p>
            <w:pPr>
              <w:widowControl/>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□适用。供应商应提供近年财务会计报表复印件，包括资产负债表、现金流量表、利润表等。近年财务会计报表年份是指：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3.供应商资格要求</w:t>
            </w:r>
            <w:r>
              <w:rPr>
                <w:rFonts w:hint="eastAsia" w:ascii="宋体" w:hAnsi="宋体" w:eastAsia="宋体" w:cs="宋体"/>
                <w:color w:val="221E1F"/>
                <w:szCs w:val="21"/>
              </w:rPr>
              <w:t xml:space="preserve"> 规定的年份</w:t>
            </w:r>
            <w:r>
              <w:rPr>
                <w:rFonts w:hint="eastAsia" w:ascii="宋体" w:hAnsi="宋体" w:eastAsia="宋体" w:cs="宋体"/>
                <w:szCs w:val="21"/>
              </w:rPr>
              <w:t>（供应商的成立时间少于该规定年份的，应提供成立以来的财务会计报表）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业绩要求证明材料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符合询价公告中的3.供应商资格要求。</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业绩证明材料：</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合同</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中标通知书/成交通知书</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竣工验收报告/验收证明</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业主证明</w:t>
            </w:r>
          </w:p>
          <w:p>
            <w:pPr>
              <w:autoSpaceDE w:val="0"/>
              <w:autoSpaceDN w:val="0"/>
              <w:spacing w:line="276" w:lineRule="auto"/>
              <w:ind w:firstLine="210" w:firstLineChars="100"/>
              <w:jc w:val="left"/>
              <w:rPr>
                <w:rFonts w:hint="eastAsia" w:ascii="宋体" w:hAnsi="宋体" w:eastAsia="宋体" w:cs="宋体"/>
                <w:color w:val="221E1F"/>
                <w:szCs w:val="21"/>
                <w:u w:val="single"/>
              </w:rPr>
            </w:pPr>
            <w:r>
              <w:rPr>
                <w:rFonts w:hint="eastAsia" w:ascii="宋体" w:hAnsi="宋体" w:eastAsia="宋体" w:cs="宋体"/>
                <w:color w:val="221E1F"/>
                <w:szCs w:val="21"/>
              </w:rPr>
              <w:t>□其他材料：</w:t>
            </w:r>
            <w:r>
              <w:rPr>
                <w:rFonts w:hint="eastAsia" w:ascii="宋体" w:hAnsi="宋体" w:eastAsia="宋体" w:cs="宋体"/>
                <w:color w:val="221E1F"/>
                <w:szCs w:val="21"/>
                <w:u w:val="single"/>
              </w:rPr>
              <w:t xml:space="preserve">          </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业绩证明材料种类要求：</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提供上述勾选的任一项证明材料即可</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□需同时提供上述勾选的所有证明材料</w:t>
            </w:r>
          </w:p>
          <w:p>
            <w:pPr>
              <w:widowControl/>
              <w:spacing w:line="276" w:lineRule="auto"/>
              <w:ind w:firstLine="210" w:firstLineChars="100"/>
              <w:jc w:val="left"/>
              <w:rPr>
                <w:rFonts w:hint="eastAsia" w:ascii="宋体" w:hAnsi="宋体" w:eastAsia="宋体" w:cs="宋体"/>
                <w:kern w:val="0"/>
                <w:szCs w:val="21"/>
              </w:rPr>
            </w:pPr>
            <w:r>
              <w:rPr>
                <w:rFonts w:hint="eastAsia" w:ascii="宋体" w:hAnsi="宋体" w:eastAsia="宋体" w:cs="宋体"/>
                <w:color w:val="221E1F"/>
                <w:szCs w:val="21"/>
              </w:rPr>
              <w:t>□其他要求：</w:t>
            </w:r>
            <w:r>
              <w:rPr>
                <w:rFonts w:hint="eastAsia" w:ascii="宋体" w:hAnsi="宋体" w:eastAsia="宋体" w:cs="宋体"/>
                <w:color w:val="221E1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信誉要求证明材料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符合询价公告中的3.供应商资格要求。</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供应商应提供相关信誉情况的证明材料，包括：①供应商贪污贿赂犯罪行为查询结果截图。通过《中国裁判文书网》（wenshu.court.gov.cn）查询，查询指南：进入首页-点击高级搜索-打开案由-选择刑事案件-贪污贿赂-单位行贿</w:t>
            </w:r>
          </w:p>
          <w:p>
            <w:pPr>
              <w:autoSpaceDE w:val="0"/>
              <w:autoSpaceDN w:val="0"/>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②供应商相关失信被执行人查询结果截图。供应商、供应商的法定代表人、项目经理分别通过《信用中国》（www.creditchina.gov.cn）查询，查询指南：进入首页-点击信用服务或个人信用-选择失信被执行人查询）。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2.1.3</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响应性评审标准</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报价</w:t>
            </w:r>
          </w:p>
        </w:tc>
        <w:tc>
          <w:tcPr>
            <w:tcW w:w="2701" w:type="pct"/>
            <w:vAlign w:val="center"/>
          </w:tcPr>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供应商应按4.获取询价文件时间和方式中获取询价文件的响应文件格式要求在响应文件中进行报价。符合如下要求：</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（1）本项目均以人民币报价。供应商报价应遵守《中华人民共和国价格法》，双方发生的所有费用均以人民币进行结算与支付；</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（2）供应商报价应包含采购标的、运费、税金及履行本项目所必需的其他全部费用。</w:t>
            </w:r>
          </w:p>
          <w:p>
            <w:pPr>
              <w:autoSpaceDE w:val="0"/>
              <w:autoSpaceDN w:val="0"/>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（3）响应文件中报价应为包含国家规定的增值税在内的含税价格，同时应列明不含税价格和增值税税额。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响应文件有效期</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响应文件有效期应为90日，从采购文件规定的递交响应文件的截止时间开始计算。特殊情况下，以采购人要求为准。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响应方案</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质量标准</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完成期限</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合同条款</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按照采购人合同文件签订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对非关键条款的偏差</w:t>
            </w:r>
          </w:p>
        </w:tc>
        <w:tc>
          <w:tcPr>
            <w:tcW w:w="2701" w:type="pct"/>
            <w:vAlign w:val="center"/>
          </w:tcPr>
          <w:p>
            <w:pPr>
              <w:spacing w:line="276" w:lineRule="auto"/>
              <w:rPr>
                <w:rFonts w:hint="eastAsia" w:ascii="宋体" w:hAnsi="宋体" w:eastAsia="宋体" w:cs="宋体"/>
                <w:szCs w:val="21"/>
              </w:rPr>
            </w:pPr>
            <w:r>
              <w:rPr>
                <w:rFonts w:hint="eastAsia" w:ascii="宋体" w:hAnsi="宋体" w:eastAsia="宋体" w:cs="宋体"/>
                <w:szCs w:val="21"/>
              </w:rPr>
              <w:t>允许偏差的范围：</w:t>
            </w:r>
            <w:r>
              <w:rPr>
                <w:rFonts w:hint="eastAsia" w:ascii="宋体" w:hAnsi="宋体" w:eastAsia="宋体" w:cs="宋体"/>
                <w:color w:val="221E1F"/>
                <w:szCs w:val="21"/>
                <w:u w:val="single"/>
              </w:rPr>
              <w:t xml:space="preserve">   /   </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允许偏差的项数：</w:t>
            </w:r>
            <w:r>
              <w:rPr>
                <w:rFonts w:hint="eastAsia" w:ascii="宋体" w:hAnsi="宋体" w:eastAsia="宋体" w:cs="宋体"/>
                <w:color w:val="221E1F"/>
                <w:szCs w:val="21"/>
                <w:u w:val="single"/>
              </w:rPr>
              <w:t xml:space="preserve">  / </w:t>
            </w:r>
            <w:r>
              <w:rPr>
                <w:rFonts w:hint="eastAsia" w:ascii="宋体" w:hAnsi="宋体" w:eastAsia="宋体" w:cs="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3.1.1</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评审价格</w:t>
            </w:r>
          </w:p>
        </w:tc>
        <w:tc>
          <w:tcPr>
            <w:tcW w:w="2701" w:type="pc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最终报价的大写含税价格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条款号</w:t>
            </w:r>
          </w:p>
        </w:tc>
        <w:tc>
          <w:tcPr>
            <w:tcW w:w="1373"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条款内容</w:t>
            </w:r>
          </w:p>
        </w:tc>
        <w:tc>
          <w:tcPr>
            <w:tcW w:w="2701"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4"/>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3.2评审价格比较和排序（最低价法）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3.2.1</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评审要求</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评审小组对满足采购文件实质性要求的响应文件，确定供应商最终报价的评审价格，并按照评审价格由低到高的顺序推荐候选成交供应商。</w:t>
            </w:r>
          </w:p>
          <w:p>
            <w:pPr>
              <w:widowControl/>
              <w:spacing w:line="276" w:lineRule="auto"/>
              <w:jc w:val="left"/>
              <w:rPr>
                <w:rFonts w:hint="eastAsia" w:ascii="宋体" w:hAnsi="宋体" w:eastAsia="宋体" w:cs="宋体"/>
                <w:b/>
                <w:szCs w:val="21"/>
              </w:rPr>
            </w:pPr>
            <w:r>
              <w:rPr>
                <w:rFonts w:hint="eastAsia" w:ascii="宋体" w:hAnsi="宋体" w:eastAsia="宋体" w:cs="宋体"/>
                <w:kern w:val="0"/>
                <w:szCs w:val="21"/>
              </w:rPr>
              <w:t>评审价格超过最高限价（如有）的，其响应文件将被视为无效。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3.2.2</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供应商并列时确定供应商优先顺序的规则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kern w:val="0"/>
                <w:szCs w:val="21"/>
              </w:rPr>
              <w:t>由评审小组投票确定</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由评审小组抽签决定</w:t>
            </w:r>
          </w:p>
        </w:tc>
      </w:tr>
    </w:tbl>
    <w:p>
      <w:pPr>
        <w:widowControl/>
        <w:spacing w:line="360" w:lineRule="auto"/>
        <w:jc w:val="left"/>
        <w:rPr>
          <w:rFonts w:hint="eastAsia" w:ascii="宋体" w:hAnsi="宋体" w:eastAsia="宋体" w:cs="宋体"/>
          <w:color w:val="000000"/>
        </w:rPr>
      </w:pP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询价文件的澄清</w:t>
      </w:r>
    </w:p>
    <w:p>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采购人可以书面形式澄清和修改询价文件，并通知所有已提交报价和文件的供应商。</w:t>
      </w:r>
    </w:p>
    <w:p>
      <w:pPr>
        <w:pStyle w:val="10"/>
        <w:widowControl/>
        <w:numPr>
          <w:ilvl w:val="0"/>
          <w:numId w:val="1"/>
        </w:numPr>
        <w:spacing w:line="360" w:lineRule="auto"/>
        <w:ind w:firstLineChars="0"/>
        <w:jc w:val="left"/>
        <w:rPr>
          <w:rFonts w:hint="eastAsia" w:ascii="宋体" w:hAnsi="宋体" w:eastAsia="宋体" w:cs="宋体"/>
          <w:szCs w:val="21"/>
        </w:rPr>
      </w:pPr>
      <w:r>
        <w:rPr>
          <w:rFonts w:hint="eastAsia" w:ascii="宋体" w:hAnsi="宋体" w:eastAsia="宋体" w:cs="宋体"/>
          <w:b/>
          <w:color w:val="000000"/>
        </w:rPr>
        <w:t>响应文件的澄清</w:t>
      </w:r>
    </w:p>
    <w:p>
      <w:pPr>
        <w:widowControl/>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pPr>
        <w:pStyle w:val="10"/>
        <w:widowControl/>
        <w:numPr>
          <w:ilvl w:val="0"/>
          <w:numId w:val="1"/>
        </w:numPr>
        <w:spacing w:line="360" w:lineRule="auto"/>
        <w:ind w:firstLineChars="0"/>
        <w:jc w:val="left"/>
        <w:rPr>
          <w:rFonts w:hint="eastAsia" w:ascii="宋体" w:hAnsi="宋体" w:eastAsia="宋体" w:cs="宋体"/>
          <w:bCs/>
          <w:color w:val="000000"/>
        </w:rPr>
      </w:pPr>
      <w:r>
        <w:rPr>
          <w:rFonts w:hint="eastAsia" w:ascii="宋体" w:hAnsi="宋体" w:eastAsia="宋体" w:cs="宋体"/>
          <w:bCs/>
          <w:color w:val="000000"/>
        </w:rPr>
        <w:t>供应商应具备承担本询价项目的资质条件、能力和信誉。除满足询价公告规定的资格要求外，供应商不得存在下列情形之一：</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（1）为采购人不具有独立法人资格的附属机构（单位）；</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（2）与本包件的其他供应商为同一个单位负责人；</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（3）与本包件的其他供应商存在控股、管理关系；</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（4）为本包件的代理机构；</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（5）与本包件的代理机构同为一个法定代表人；</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（6）与本包件的代理机构存在控股或参股关系；</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（7）被依法暂停或取消投标资格；</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（8）被责令停产停业、暂扣或者吊销许可证、暂扣或者吊销执照；</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（9）进入清算程序，或被宣告破产，或其他丧失履约能力的情形；</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（10）在最近三年内发生重大产品质量问题（以相关行业主管部门的行政处罚决定或司法 机关出具的有关法律文书为准）；</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（11）被工商行政管理机关在全国企业信用信息公示系统中列入严重违法失信企业名单；</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（12）被最高人民法院在“信用中国”网站（www.creditchina.gov.cn）或各级信用信息共享平台中列入失信被执行人名单；</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（13）在近三年内供应商或其法定代表人、拟委任的项目负责人有行贿犯罪行为的（以检察机关职务犯罪预防部门出具的查询结果为准）；</w:t>
      </w:r>
    </w:p>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（14）法律法规或供应商须知前附表规定的其他情形</w:t>
      </w:r>
    </w:p>
    <w:p>
      <w:pPr>
        <w:pStyle w:val="10"/>
        <w:widowControl/>
        <w:numPr>
          <w:ilvl w:val="0"/>
          <w:numId w:val="1"/>
        </w:numPr>
        <w:spacing w:line="360" w:lineRule="auto"/>
        <w:ind w:firstLineChars="0"/>
        <w:jc w:val="left"/>
        <w:rPr>
          <w:rFonts w:hint="eastAsia" w:ascii="宋体" w:hAnsi="宋体" w:eastAsia="宋体" w:cs="宋体"/>
          <w:bCs/>
          <w:color w:val="000000"/>
        </w:rPr>
      </w:pPr>
      <w:r>
        <w:rPr>
          <w:rFonts w:hint="eastAsia" w:ascii="宋体" w:hAnsi="宋体" w:eastAsia="宋体" w:cs="宋体"/>
          <w:bCs/>
          <w:color w:val="000000"/>
        </w:rPr>
        <w:t>采购人按照根据实际情况选择向确定的成交供应商发出成交通知，同时将询价结果通知未成交的供应商。</w:t>
      </w: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合同授予</w:t>
      </w:r>
    </w:p>
    <w:p>
      <w:pPr>
        <w:widowControl/>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采购人和确定的供应商应当根据询价文件和确定的供应商的报价文件订立书面合同。确定的供应商无正当理由拒签合同的，采购人取消其成交资格；给采购人造成的损失的，应当予以赔偿。本项目在执行过程中可能会有需求调整，实际采购金额将随项目需求调整而变化，采购人不承诺最终成交金额。</w:t>
      </w:r>
    </w:p>
    <w:p>
      <w:pPr>
        <w:pStyle w:val="10"/>
        <w:widowControl/>
        <w:numPr>
          <w:ilvl w:val="0"/>
          <w:numId w:val="1"/>
        </w:numPr>
        <w:spacing w:line="360" w:lineRule="auto"/>
        <w:ind w:firstLineChars="0"/>
        <w:jc w:val="left"/>
        <w:rPr>
          <w:rFonts w:hint="eastAsia" w:ascii="宋体" w:hAnsi="宋体" w:eastAsia="宋体" w:cs="宋体"/>
          <w:b/>
          <w:color w:val="000000"/>
        </w:rPr>
      </w:pPr>
      <w:r>
        <w:rPr>
          <w:rFonts w:hint="eastAsia" w:ascii="宋体" w:hAnsi="宋体" w:eastAsia="宋体" w:cs="宋体"/>
          <w:b/>
          <w:color w:val="000000"/>
        </w:rPr>
        <w:t>其他</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监督部门：本询价项目的监督部门为北京铁路信号有限公司纪检监察部，电话：010-51214183，邮箱：</w:t>
      </w:r>
      <w:r>
        <w:rPr>
          <w:rFonts w:hint="eastAsia" w:ascii="宋体" w:hAnsi="宋体" w:eastAsia="宋体" w:cs="宋体"/>
        </w:rPr>
        <w:fldChar w:fldCharType="begin"/>
      </w:r>
      <w:r>
        <w:rPr>
          <w:rFonts w:hint="eastAsia" w:ascii="宋体" w:hAnsi="宋体" w:eastAsia="宋体" w:cs="宋体"/>
        </w:rPr>
        <w:instrText xml:space="preserve"> HYPERLINK "mailto:BXJJJC@crsc.cn" </w:instrText>
      </w:r>
      <w:r>
        <w:rPr>
          <w:rFonts w:hint="eastAsia" w:ascii="宋体" w:hAnsi="宋体" w:eastAsia="宋体" w:cs="宋体"/>
        </w:rPr>
        <w:fldChar w:fldCharType="separate"/>
      </w:r>
      <w:r>
        <w:rPr>
          <w:rFonts w:hint="eastAsia" w:ascii="宋体" w:hAnsi="宋体" w:eastAsia="宋体" w:cs="宋体"/>
          <w:color w:val="0000FF"/>
          <w:u w:val="single"/>
        </w:rPr>
        <w:t>BXJJJC@crsc.cn</w:t>
      </w:r>
      <w:r>
        <w:rPr>
          <w:rFonts w:hint="eastAsia" w:ascii="宋体" w:hAnsi="宋体" w:eastAsia="宋体" w:cs="宋体"/>
          <w:color w:val="0000FF"/>
          <w:u w:val="single"/>
        </w:rPr>
        <w:fldChar w:fldCharType="end"/>
      </w:r>
      <w:r>
        <w:rPr>
          <w:rFonts w:hint="eastAsia" w:ascii="宋体" w:hAnsi="宋体" w:eastAsia="宋体" w:cs="宋体"/>
          <w:color w:val="000000"/>
        </w:rPr>
        <w:t>。</w:t>
      </w:r>
    </w:p>
    <w:p/>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3"/>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北京铁路信号有限公司</w:t>
    </w:r>
    <w:r>
      <w:rPr>
        <w:rFonts w:hint="eastAsia" w:hAnsi="Times New Roman"/>
        <w:lang w:val="zh-CN"/>
      </w:rPr>
      <w:t>2024年一季度线缆采购项目</w:t>
    </w:r>
    <w:r>
      <w:rPr>
        <w:rFonts w:hint="eastAsia"/>
      </w:rPr>
      <w:t>询价须知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C6AB9"/>
    <w:multiLevelType w:val="multilevel"/>
    <w:tmpl w:val="29EC6A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371437F"/>
    <w:multiLevelType w:val="multilevel"/>
    <w:tmpl w:val="3371437F"/>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2A6933"/>
    <w:rsid w:val="00146C6F"/>
    <w:rsid w:val="0015616A"/>
    <w:rsid w:val="001D1776"/>
    <w:rsid w:val="002A6933"/>
    <w:rsid w:val="00814D0F"/>
    <w:rsid w:val="00845181"/>
    <w:rsid w:val="00B97B72"/>
    <w:rsid w:val="0C2E08FD"/>
    <w:rsid w:val="134B4158"/>
    <w:rsid w:val="1D28626C"/>
    <w:rsid w:val="21882352"/>
    <w:rsid w:val="37116682"/>
    <w:rsid w:val="40E564AE"/>
    <w:rsid w:val="44B5047F"/>
    <w:rsid w:val="44E70309"/>
    <w:rsid w:val="50671DC5"/>
    <w:rsid w:val="63246D95"/>
    <w:rsid w:val="634E321F"/>
    <w:rsid w:val="7B63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autoRedefine/>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2 字符"/>
    <w:basedOn w:val="6"/>
    <w:link w:val="2"/>
    <w:autoRedefine/>
    <w:qFormat/>
    <w:uiPriority w:val="0"/>
    <w:rPr>
      <w:rFonts w:ascii="Arial" w:hAnsi="Arial" w:eastAsia="黑体" w:cs="Times New Roman"/>
      <w:b/>
      <w:kern w:val="0"/>
      <w:sz w:val="30"/>
      <w:szCs w:val="20"/>
    </w:rPr>
  </w:style>
  <w:style w:type="paragraph" w:styleId="10">
    <w:name w:val="List Paragraph"/>
    <w:basedOn w:val="1"/>
    <w:autoRedefine/>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5369</Words>
  <Characters>6006</Characters>
  <Lines>27</Lines>
  <Paragraphs>7</Paragraphs>
  <TotalTime>0</TotalTime>
  <ScaleCrop>false</ScaleCrop>
  <LinksUpToDate>false</LinksUpToDate>
  <CharactersWithSpaces>6118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2023-12-19T00:48:00Z</dcterms:created>
  <dc:creator>吴琳</dc:creator>
  <cp:lastModifiedBy>曹杰</cp:lastModifiedBy>
  <cp:lastPrinted>2024-03-01T05:17:48Z</cp:lastPrinted>
  <dcterms:modified xsi:type="dcterms:W3CDTF">2024-03-01T05:18:04Z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8169177A97B646F88F8D8EA9610B183E_12</vt:lpwstr>
  </property>
</Properties>
</file>