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hAnsi="宋体" w:eastAsia="宋体" w:cs="宋体"/>
          <w:color w:val="000000"/>
          <w:sz w:val="22"/>
        </w:rPr>
      </w:pPr>
      <w:r>
        <w:rPr>
          <w:rFonts w:hint="eastAsia" w:ascii="宋体" w:hAnsi="宋体" w:eastAsia="宋体" w:cs="宋体"/>
          <w:color w:val="000000"/>
          <w:sz w:val="22"/>
        </w:rPr>
        <w:t>附件1：询价须知</w:t>
      </w:r>
    </w:p>
    <w:p>
      <w:pPr>
        <w:spacing w:line="360" w:lineRule="auto"/>
        <w:jc w:val="center"/>
        <w:rPr>
          <w:rFonts w:hint="eastAsia" w:ascii="宋体" w:hAnsi="宋体" w:eastAsia="宋体" w:cs="宋体"/>
          <w:b/>
          <w:color w:val="000000"/>
          <w:sz w:val="32"/>
        </w:rPr>
      </w:pPr>
      <w:r>
        <w:rPr>
          <w:rFonts w:hint="eastAsia" w:ascii="宋体" w:hAnsi="宋体" w:eastAsia="宋体" w:cs="宋体"/>
          <w:b/>
          <w:color w:val="000000"/>
          <w:sz w:val="32"/>
        </w:rPr>
        <w:t>询价须知</w:t>
      </w: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采购内容：</w:t>
      </w:r>
    </w:p>
    <w:tbl>
      <w:tblPr>
        <w:tblStyle w:val="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98"/>
        <w:gridCol w:w="4068"/>
        <w:gridCol w:w="94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blHeader/>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b/>
                <w:bCs/>
                <w:color w:val="000000"/>
                <w:kern w:val="0"/>
                <w:lang w:val="en-US" w:eastAsia="zh-CN"/>
              </w:rPr>
            </w:pPr>
            <w:r>
              <w:rPr>
                <w:rFonts w:hint="eastAsia" w:ascii="宋体" w:hAnsi="宋体"/>
                <w:b/>
                <w:bCs/>
                <w:color w:val="000000"/>
                <w:kern w:val="0"/>
                <w:lang w:val="en-US" w:eastAsia="zh-CN"/>
              </w:rPr>
              <w:t>序号</w:t>
            </w:r>
          </w:p>
        </w:tc>
        <w:tc>
          <w:tcPr>
            <w:tcW w:w="4068" w:type="dxa"/>
            <w:shd w:val="clear" w:color="auto" w:fill="auto"/>
            <w:tcMar>
              <w:top w:w="15" w:type="dxa"/>
              <w:left w:w="15" w:type="dxa"/>
              <w:right w:w="15" w:type="dxa"/>
            </w:tcMar>
            <w:vAlign w:val="center"/>
          </w:tcPr>
          <w:p>
            <w:pPr>
              <w:spacing w:line="440" w:lineRule="exact"/>
              <w:jc w:val="center"/>
              <w:rPr>
                <w:rFonts w:hint="default" w:ascii="宋体" w:hAnsi="宋体"/>
                <w:b/>
                <w:bCs/>
                <w:color w:val="000000"/>
                <w:kern w:val="0"/>
                <w:lang w:val="en-US" w:eastAsia="zh-CN"/>
              </w:rPr>
            </w:pPr>
            <w:r>
              <w:rPr>
                <w:rFonts w:hint="eastAsia" w:ascii="宋体" w:hAnsi="宋体"/>
                <w:b/>
                <w:bCs/>
                <w:color w:val="000000"/>
                <w:kern w:val="0"/>
                <w:lang w:val="en-US" w:eastAsia="zh-CN"/>
              </w:rPr>
              <w:t>名称</w:t>
            </w:r>
          </w:p>
        </w:tc>
        <w:tc>
          <w:tcPr>
            <w:tcW w:w="946" w:type="dxa"/>
            <w:shd w:val="clear" w:color="auto" w:fill="auto"/>
            <w:tcMar>
              <w:top w:w="15" w:type="dxa"/>
              <w:left w:w="15" w:type="dxa"/>
              <w:right w:w="15" w:type="dxa"/>
            </w:tcMar>
            <w:vAlign w:val="center"/>
          </w:tcPr>
          <w:p>
            <w:pPr>
              <w:spacing w:line="440" w:lineRule="exact"/>
              <w:jc w:val="center"/>
              <w:rPr>
                <w:rFonts w:hint="eastAsia" w:ascii="宋体" w:hAnsi="宋体"/>
                <w:b/>
                <w:bCs/>
                <w:color w:val="000000"/>
                <w:kern w:val="0"/>
                <w:lang w:val="en-US" w:eastAsia="zh-CN"/>
              </w:rPr>
            </w:pPr>
            <w:r>
              <w:rPr>
                <w:rFonts w:hint="eastAsia" w:ascii="宋体" w:hAnsi="宋体"/>
                <w:b/>
                <w:bCs/>
                <w:color w:val="000000"/>
                <w:kern w:val="0"/>
                <w:lang w:val="en-US" w:eastAsia="zh-CN"/>
              </w:rPr>
              <w:t>单位</w:t>
            </w:r>
          </w:p>
        </w:tc>
        <w:tc>
          <w:tcPr>
            <w:tcW w:w="1986" w:type="dxa"/>
            <w:shd w:val="clear" w:color="auto" w:fill="auto"/>
            <w:tcMar>
              <w:top w:w="15" w:type="dxa"/>
              <w:left w:w="15" w:type="dxa"/>
              <w:right w:w="15" w:type="dxa"/>
            </w:tcMar>
            <w:vAlign w:val="center"/>
          </w:tcPr>
          <w:p>
            <w:pPr>
              <w:spacing w:line="440" w:lineRule="exact"/>
              <w:jc w:val="center"/>
              <w:rPr>
                <w:rFonts w:hint="eastAsia" w:ascii="宋体" w:hAnsi="宋体"/>
                <w:b/>
                <w:bCs/>
                <w:color w:val="000000"/>
                <w:kern w:val="0"/>
                <w:lang w:val="en-US" w:eastAsia="zh-CN"/>
              </w:rPr>
            </w:pPr>
            <w:r>
              <w:rPr>
                <w:rFonts w:hint="eastAsia" w:ascii="宋体" w:hAnsi="宋体"/>
                <w:b/>
                <w:bCs/>
                <w:color w:val="000000"/>
                <w:kern w:val="0"/>
                <w:lang w:val="en-US" w:eastAsia="zh-CN"/>
              </w:rPr>
              <w:t>预计需求数量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1</w:t>
            </w:r>
          </w:p>
        </w:tc>
        <w:tc>
          <w:tcPr>
            <w:tcW w:w="4068" w:type="dxa"/>
            <w:shd w:val="clear" w:color="auto" w:fill="auto"/>
            <w:noWrap/>
            <w:tcMar>
              <w:top w:w="15" w:type="dxa"/>
              <w:left w:w="15" w:type="dxa"/>
              <w:right w:w="15" w:type="dxa"/>
            </w:tcMar>
            <w:vAlign w:val="center"/>
          </w:tcPr>
          <w:p>
            <w:pPr>
              <w:spacing w:line="440" w:lineRule="exact"/>
              <w:jc w:val="center"/>
              <w:rPr>
                <w:rFonts w:hint="default" w:ascii="宋体" w:hAnsi="宋体"/>
                <w:color w:val="000000"/>
                <w:kern w:val="0"/>
                <w:lang w:val="en-US" w:eastAsia="zh-CN"/>
              </w:rPr>
            </w:pPr>
            <w:r>
              <w:rPr>
                <w:rFonts w:hint="eastAsia" w:ascii="宋体" w:hAnsi="宋体"/>
                <w:color w:val="000000"/>
                <w:kern w:val="0"/>
                <w:lang w:val="en-US" w:eastAsia="zh-CN"/>
              </w:rPr>
              <w:t>春夏季防静电套装（一衣一裤）</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套</w:t>
            </w:r>
          </w:p>
        </w:tc>
        <w:tc>
          <w:tcPr>
            <w:tcW w:w="1986" w:type="dxa"/>
            <w:shd w:val="clear" w:color="auto" w:fill="auto"/>
            <w:noWrap/>
            <w:tcMar>
              <w:top w:w="15" w:type="dxa"/>
              <w:left w:w="15" w:type="dxa"/>
              <w:right w:w="15" w:type="dxa"/>
            </w:tcMar>
            <w:vAlign w:val="center"/>
          </w:tcPr>
          <w:p>
            <w:pPr>
              <w:spacing w:line="440" w:lineRule="exact"/>
              <w:jc w:val="center"/>
              <w:rPr>
                <w:rFonts w:hint="default" w:ascii="宋体" w:hAnsi="宋体"/>
                <w:color w:val="000000"/>
                <w:kern w:val="0"/>
                <w:lang w:val="en-US" w:eastAsia="zh-CN"/>
              </w:rPr>
            </w:pPr>
            <w:r>
              <w:rPr>
                <w:rFonts w:hint="eastAsia" w:ascii="宋体" w:hAnsi="宋体"/>
                <w:color w:val="000000"/>
                <w:kern w:val="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2</w:t>
            </w:r>
          </w:p>
        </w:tc>
        <w:tc>
          <w:tcPr>
            <w:tcW w:w="4068"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秋冬季防静电套装（一衣一裤）</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套</w:t>
            </w:r>
          </w:p>
        </w:tc>
        <w:tc>
          <w:tcPr>
            <w:tcW w:w="198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3</w:t>
            </w:r>
          </w:p>
        </w:tc>
        <w:tc>
          <w:tcPr>
            <w:tcW w:w="4068"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春夏季防静电鞋</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双</w:t>
            </w:r>
          </w:p>
        </w:tc>
        <w:tc>
          <w:tcPr>
            <w:tcW w:w="198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4</w:t>
            </w:r>
          </w:p>
        </w:tc>
        <w:tc>
          <w:tcPr>
            <w:tcW w:w="4068"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秋冬季防静电鞋</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双</w:t>
            </w:r>
          </w:p>
        </w:tc>
        <w:tc>
          <w:tcPr>
            <w:tcW w:w="198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5</w:t>
            </w:r>
          </w:p>
        </w:tc>
        <w:tc>
          <w:tcPr>
            <w:tcW w:w="4068"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春夏季防静电帽子</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顶</w:t>
            </w:r>
          </w:p>
        </w:tc>
        <w:tc>
          <w:tcPr>
            <w:tcW w:w="198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5" w:hRule="atLeast"/>
          <w:jc w:val="center"/>
        </w:trPr>
        <w:tc>
          <w:tcPr>
            <w:tcW w:w="898" w:type="dxa"/>
            <w:shd w:val="clear" w:color="auto" w:fill="auto"/>
            <w:tcMar>
              <w:top w:w="15" w:type="dxa"/>
              <w:left w:w="15" w:type="dxa"/>
              <w:right w:w="15" w:type="dxa"/>
            </w:tcMar>
            <w:vAlign w:val="center"/>
          </w:tcPr>
          <w:p>
            <w:pPr>
              <w:spacing w:line="440" w:lineRule="exact"/>
              <w:jc w:val="center"/>
              <w:rPr>
                <w:rFonts w:hint="eastAsia" w:ascii="宋体" w:hAnsi="宋体"/>
                <w:color w:val="000000"/>
                <w:kern w:val="0"/>
              </w:rPr>
            </w:pPr>
            <w:r>
              <w:rPr>
                <w:rFonts w:hint="eastAsia" w:ascii="宋体" w:hAnsi="宋体"/>
                <w:color w:val="000000"/>
                <w:kern w:val="0"/>
                <w:lang w:val="en-US" w:eastAsia="zh-CN"/>
              </w:rPr>
              <w:t>6</w:t>
            </w:r>
          </w:p>
        </w:tc>
        <w:tc>
          <w:tcPr>
            <w:tcW w:w="4068"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秋冬季防静电帽子</w:t>
            </w:r>
          </w:p>
        </w:tc>
        <w:tc>
          <w:tcPr>
            <w:tcW w:w="94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顶</w:t>
            </w:r>
          </w:p>
        </w:tc>
        <w:tc>
          <w:tcPr>
            <w:tcW w:w="1986" w:type="dxa"/>
            <w:shd w:val="clear" w:color="auto" w:fill="auto"/>
            <w:noWrap/>
            <w:tcMar>
              <w:top w:w="15" w:type="dxa"/>
              <w:left w:w="15" w:type="dxa"/>
              <w:right w:w="15" w:type="dxa"/>
            </w:tcMar>
            <w:vAlign w:val="center"/>
          </w:tcPr>
          <w:p>
            <w:pPr>
              <w:spacing w:line="440" w:lineRule="exact"/>
              <w:jc w:val="center"/>
              <w:rPr>
                <w:rFonts w:hint="eastAsia" w:ascii="宋体" w:hAnsi="宋体"/>
                <w:color w:val="000000"/>
                <w:kern w:val="0"/>
                <w:lang w:val="en-US" w:eastAsia="zh-CN"/>
              </w:rPr>
            </w:pPr>
            <w:r>
              <w:rPr>
                <w:rFonts w:hint="eastAsia" w:ascii="宋体" w:hAnsi="宋体"/>
                <w:color w:val="000000"/>
                <w:kern w:val="0"/>
                <w:lang w:val="en-US" w:eastAsia="zh-CN"/>
              </w:rPr>
              <w:t>1000</w:t>
            </w:r>
          </w:p>
        </w:tc>
      </w:tr>
    </w:tbl>
    <w:p>
      <w:pPr>
        <w:widowControl/>
        <w:jc w:val="left"/>
        <w:rPr>
          <w:rFonts w:hint="eastAsia" w:ascii="宋体" w:hAnsi="宋体" w:eastAsia="宋体" w:cs="宋体"/>
          <w:b/>
          <w:color w:val="000000"/>
        </w:rPr>
      </w:pP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技术要求</w:t>
      </w:r>
    </w:p>
    <w:p>
      <w:pPr>
        <w:spacing w:line="440" w:lineRule="exact"/>
        <w:ind w:firstLine="420" w:firstLineChars="200"/>
        <w:jc w:val="left"/>
        <w:rPr>
          <w:rFonts w:hint="eastAsia" w:ascii="宋体" w:hAnsi="宋体"/>
          <w:color w:val="000000"/>
          <w:kern w:val="0"/>
          <w:lang w:val="en-US" w:eastAsia="zh-CN"/>
        </w:rPr>
      </w:pPr>
      <w:r>
        <w:rPr>
          <w:rFonts w:hint="eastAsia" w:ascii="宋体" w:hAnsi="宋体"/>
          <w:color w:val="000000"/>
          <w:kern w:val="0"/>
          <w:lang w:val="en-US" w:eastAsia="zh-CN"/>
        </w:rPr>
        <w:t>防静电工服供方需提供有资质的第三方检测报告，同时满足我公司内部检测要求：按ANSI/ESDS20.20-2021标准进行测试，具体检测方法如下：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3.1、防静电工作服</w:t>
      </w:r>
    </w:p>
    <w:p>
      <w:pPr>
        <w:spacing w:line="440" w:lineRule="exact"/>
        <w:ind w:firstLine="420" w:firstLineChars="200"/>
        <w:jc w:val="left"/>
        <w:rPr>
          <w:rFonts w:hint="eastAsia" w:ascii="宋体" w:hAnsi="宋体"/>
          <w:color w:val="000000"/>
          <w:kern w:val="0"/>
          <w:lang w:val="en-US" w:eastAsia="zh-CN"/>
        </w:rPr>
      </w:pPr>
      <w:r>
        <w:rPr>
          <w:rFonts w:hint="eastAsia" w:ascii="宋体" w:hAnsi="宋体"/>
          <w:color w:val="000000"/>
          <w:kern w:val="0"/>
          <w:lang w:val="en-US" w:eastAsia="zh-CN"/>
        </w:rPr>
        <w:t>准备 3 套衣服样本（包含防静电帽子，清洗三次以上）；测试前要在 12±3%RH 低湿和 50±5%RH 中湿的条件下放置 48H 以上，并分别进行一次测试。将衣服铺放在绝缘测试平台上，按下图 8 分两次测试。第一次将两个重锤防放在两个衣袖的袖口位置（袖口处放绝缘垫片，防止袖口上下贴合在一起）；第二次将两个重锤放在左右口袋上方或附近的位置，按住“TEST”键开始测试。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b w:val="0"/>
          <w:bCs/>
          <w:sz w:val="28"/>
          <w:szCs w:val="28"/>
          <w:lang w:val="en-US" w:eastAsia="zh-CN"/>
        </w:rPr>
      </w:pPr>
      <w:r>
        <w:rPr>
          <w:rFonts w:ascii="Times New Roman" w:hAnsi="Times New Roman" w:eastAsia="宋体" w:cs="Times New Roman"/>
          <w:szCs w:val="20"/>
        </w:rPr>
        <w:drawing>
          <wp:anchor distT="0" distB="0" distL="114300" distR="114300" simplePos="0" relativeHeight="251659264" behindDoc="0" locked="0" layoutInCell="1" allowOverlap="1">
            <wp:simplePos x="0" y="0"/>
            <wp:positionH relativeFrom="column">
              <wp:posOffset>-768350</wp:posOffset>
            </wp:positionH>
            <wp:positionV relativeFrom="paragraph">
              <wp:posOffset>234315</wp:posOffset>
            </wp:positionV>
            <wp:extent cx="3397250" cy="1767205"/>
            <wp:effectExtent l="0" t="0" r="1270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97250" cy="1767205"/>
                    </a:xfrm>
                    <a:prstGeom prst="rect">
                      <a:avLst/>
                    </a:prstGeom>
                    <a:noFill/>
                    <a:ln>
                      <a:noFill/>
                    </a:ln>
                  </pic:spPr>
                </pic:pic>
              </a:graphicData>
            </a:graphic>
          </wp:anchor>
        </w:drawing>
      </w:r>
      <w:r>
        <w:rPr>
          <w:rFonts w:ascii="Times New Roman" w:hAnsi="Times New Roman" w:eastAsia="宋体" w:cs="Times New Roman"/>
          <w:szCs w:val="20"/>
        </w:rPr>
        <w:drawing>
          <wp:anchor distT="0" distB="0" distL="114300" distR="114300" simplePos="0" relativeHeight="251660288" behindDoc="0" locked="0" layoutInCell="1" allowOverlap="1">
            <wp:simplePos x="0" y="0"/>
            <wp:positionH relativeFrom="column">
              <wp:posOffset>2741295</wp:posOffset>
            </wp:positionH>
            <wp:positionV relativeFrom="paragraph">
              <wp:posOffset>249555</wp:posOffset>
            </wp:positionV>
            <wp:extent cx="3053080" cy="1748155"/>
            <wp:effectExtent l="0" t="0" r="13970" b="444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3053080" cy="174815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3.2防静电鞋</w:t>
      </w:r>
    </w:p>
    <w:p>
      <w:pPr>
        <w:spacing w:line="440" w:lineRule="exact"/>
        <w:ind w:firstLine="420" w:firstLineChars="200"/>
        <w:jc w:val="left"/>
        <w:rPr>
          <w:rFonts w:hint="eastAsia" w:ascii="宋体" w:hAnsi="宋体"/>
          <w:color w:val="000000"/>
          <w:kern w:val="0"/>
          <w:lang w:val="en-US" w:eastAsia="zh-CN"/>
        </w:rPr>
      </w:pPr>
      <w:r>
        <w:rPr>
          <w:rFonts w:hint="eastAsia" w:ascii="宋体" w:hAnsi="宋体"/>
          <w:color w:val="000000"/>
          <w:kern w:val="0"/>
          <w:lang w:val="en-US" w:eastAsia="zh-CN"/>
        </w:rPr>
        <w:t>将防静电鞋放置在12±3%RH低湿和50±5%RH中湿条件下各72H 以上，分别进行测试。测试方法如下图所示：在绝缘测试平台上，将被测鞋子放在导电金属板上，金属板连接到重锤的一个电极，鞋垫用铝箔代替，长度要伸到鞋跟外面连接到重锤测试仪的一个测试电极，</w:t>
      </w:r>
    </w:p>
    <w:p>
      <w:pPr>
        <w:spacing w:line="440" w:lineRule="exact"/>
        <w:jc w:val="left"/>
        <w:rPr>
          <w:rFonts w:hint="eastAsia" w:ascii="宋体" w:hAnsi="宋体"/>
          <w:color w:val="000000"/>
          <w:kern w:val="0"/>
          <w:lang w:val="en-US" w:eastAsia="zh-CN"/>
        </w:rPr>
      </w:pPr>
      <w:r>
        <w:rPr>
          <w:rFonts w:hint="eastAsia" w:ascii="宋体" w:hAnsi="宋体"/>
          <w:color w:val="000000"/>
          <w:kern w:val="0"/>
          <w:lang w:val="en-US" w:eastAsia="zh-CN"/>
        </w:rPr>
        <w:t>鞋壳里面用11.35kg钢珠填满和压紧，按住“TEST”键开始测试。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1"/>
          <w:szCs w:val="21"/>
          <w:lang w:val="en-US" w:eastAsia="zh-CN"/>
        </w:rPr>
        <w:drawing>
          <wp:anchor distT="0" distB="0" distL="114300" distR="114300" simplePos="0" relativeHeight="251661312" behindDoc="0" locked="0" layoutInCell="1" allowOverlap="1">
            <wp:simplePos x="0" y="0"/>
            <wp:positionH relativeFrom="column">
              <wp:posOffset>1100455</wp:posOffset>
            </wp:positionH>
            <wp:positionV relativeFrom="paragraph">
              <wp:posOffset>-387350</wp:posOffset>
            </wp:positionV>
            <wp:extent cx="2850515" cy="2129155"/>
            <wp:effectExtent l="0" t="0" r="6985" b="444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2850515" cy="212915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b/>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bCs w:val="0"/>
          <w:sz w:val="21"/>
          <w:szCs w:val="21"/>
          <w:lang w:val="en-US" w:eastAsia="zh-CN"/>
        </w:rPr>
        <w:t>3.3防静电工服工艺要求</w:t>
      </w:r>
    </w:p>
    <w:tbl>
      <w:tblPr>
        <w:tblStyle w:val="7"/>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1"/>
        <w:gridCol w:w="2864"/>
        <w:gridCol w:w="1213"/>
        <w:gridCol w:w="287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产品名称</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面料成分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测试限值</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辅料、工艺</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春夏季防静电套装</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vertAlign w:val="superscript"/>
              </w:rPr>
            </w:pPr>
            <w:r>
              <w:rPr>
                <w:rFonts w:hint="eastAsia" w:ascii="宋体" w:hAnsi="宋体" w:eastAsia="宋体" w:cs="宋体"/>
                <w:color w:val="000000"/>
                <w:kern w:val="2"/>
                <w:sz w:val="18"/>
                <w:szCs w:val="18"/>
                <w:lang w:val="en-US" w:eastAsia="zh-CN" w:bidi="ar"/>
              </w:rPr>
              <w:t>CVC防静电（网格）C/T 60/40 32*32 130*70，成分：</w:t>
            </w:r>
            <w:r>
              <w:rPr>
                <w:rFonts w:hint="eastAsia" w:ascii="宋体" w:hAnsi="宋体" w:eastAsia="宋体" w:cs="Times New Roman"/>
                <w:color w:val="000000"/>
                <w:kern w:val="2"/>
                <w:sz w:val="18"/>
                <w:szCs w:val="18"/>
                <w:lang w:val="en-US" w:eastAsia="zh-CN" w:bidi="ar"/>
              </w:rPr>
              <w:t>T</w:t>
            </w:r>
            <w:r>
              <w:rPr>
                <w:rFonts w:hint="eastAsia" w:ascii="宋体" w:hAnsi="宋体" w:eastAsia="宋体" w:cs="宋体"/>
                <w:color w:val="000000"/>
                <w:kern w:val="2"/>
                <w:sz w:val="18"/>
                <w:szCs w:val="18"/>
                <w:lang w:val="en-US" w:eastAsia="zh-CN" w:bidi="ar"/>
              </w:rPr>
              <w:t>38%/</w:t>
            </w:r>
            <w:r>
              <w:rPr>
                <w:rFonts w:hint="eastAsia" w:ascii="宋体" w:hAnsi="宋体" w:eastAsia="宋体" w:cs="Times New Roman"/>
                <w:color w:val="000000"/>
                <w:kern w:val="2"/>
                <w:sz w:val="18"/>
                <w:szCs w:val="18"/>
                <w:lang w:val="en-US" w:eastAsia="zh-CN" w:bidi="ar"/>
              </w:rPr>
              <w:t>C</w:t>
            </w:r>
            <w:r>
              <w:rPr>
                <w:rFonts w:hint="eastAsia" w:ascii="宋体" w:hAnsi="宋体" w:eastAsia="宋体" w:cs="宋体"/>
                <w:color w:val="000000"/>
                <w:kern w:val="2"/>
                <w:sz w:val="18"/>
                <w:szCs w:val="18"/>
                <w:lang w:val="en-US" w:eastAsia="zh-CN" w:bidi="ar"/>
              </w:rPr>
              <w:t>59%/导电纱</w:t>
            </w:r>
            <w:r>
              <w:rPr>
                <w:rFonts w:hint="eastAsia" w:ascii="宋体" w:hAnsi="宋体" w:eastAsia="宋体" w:cs="Times New Roman"/>
                <w:color w:val="000000"/>
                <w:kern w:val="2"/>
                <w:sz w:val="18"/>
                <w:szCs w:val="18"/>
                <w:lang w:val="en-US" w:eastAsia="zh-CN" w:bidi="ar"/>
              </w:rPr>
              <w:t>:3%</w:t>
            </w:r>
            <w:r>
              <w:rPr>
                <w:rFonts w:hint="eastAsia" w:ascii="宋体" w:hAnsi="宋体" w:eastAsia="宋体" w:cs="Times New Roman"/>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克重：</w:t>
            </w:r>
            <w:r>
              <w:rPr>
                <w:rFonts w:hint="eastAsia" w:ascii="宋体" w:hAnsi="宋体" w:eastAsia="宋体" w:cs="Times New Roman"/>
                <w:color w:val="000000"/>
                <w:kern w:val="2"/>
                <w:sz w:val="18"/>
                <w:szCs w:val="18"/>
                <w:lang w:val="en-US" w:eastAsia="zh-CN" w:bidi="ar"/>
              </w:rPr>
              <w:t>155</w:t>
            </w:r>
            <w:r>
              <w:rPr>
                <w:rFonts w:hint="eastAsia" w:ascii="宋体" w:hAnsi="宋体" w:eastAsia="宋体" w:cs="宋体"/>
                <w:color w:val="000000"/>
                <w:kern w:val="2"/>
                <w:sz w:val="18"/>
                <w:szCs w:val="18"/>
                <w:lang w:val="en-US" w:eastAsia="zh-CN" w:bidi="ar"/>
              </w:rPr>
              <w:t>±5g</w:t>
            </w:r>
            <w:r>
              <w:rPr>
                <w:rFonts w:hint="eastAsia" w:ascii="宋体" w:hAnsi="宋体"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m</w:t>
            </w:r>
            <w:r>
              <w:rPr>
                <w:rFonts w:hint="eastAsia" w:ascii="宋体" w:hAnsi="宋体" w:eastAsia="宋体" w:cs="宋体"/>
                <w:color w:val="000000"/>
                <w:kern w:val="2"/>
                <w:sz w:val="18"/>
                <w:szCs w:val="18"/>
                <w:vertAlign w:val="superscript"/>
                <w:lang w:val="en-US" w:eastAsia="zh-CN" w:bidi="ar"/>
              </w:rPr>
              <w:t>2</w:t>
            </w:r>
          </w:p>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注：衣服裤子面料一致</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Rp-p</w:t>
            </w:r>
          </w:p>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&lt;1x10</w:t>
            </w:r>
            <w:r>
              <w:rPr>
                <w:rFonts w:hint="eastAsia" w:ascii="宋体" w:hAnsi="宋体" w:eastAsia="宋体" w:cs="宋体"/>
                <w:color w:val="000000"/>
                <w:kern w:val="2"/>
                <w:sz w:val="18"/>
                <w:szCs w:val="18"/>
                <w:vertAlign w:val="superscript"/>
                <w:lang w:val="en-US" w:eastAsia="zh-CN" w:bidi="ar"/>
              </w:rPr>
              <w:t>10</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Times New Roman"/>
                <w:color w:val="000000"/>
                <w:kern w:val="2"/>
                <w:sz w:val="18"/>
                <w:szCs w:val="18"/>
                <w:lang w:val="en-US" w:eastAsia="zh-CN" w:bidi="ar"/>
              </w:rPr>
              <w:t>Y</w:t>
            </w:r>
            <w:r>
              <w:rPr>
                <w:rFonts w:hint="eastAsia" w:ascii="宋体" w:hAnsi="宋体" w:eastAsia="宋体" w:cs="宋体"/>
                <w:color w:val="000000"/>
                <w:kern w:val="2"/>
                <w:sz w:val="18"/>
                <w:szCs w:val="18"/>
                <w:lang w:val="en-US" w:eastAsia="zh-CN" w:bidi="ar"/>
              </w:rPr>
              <w:t>KK拉链、3M反光材料、调节腰、耐磨防撕，立体裁剪，不易褪色，不起球，双线加固，按扣设计，调节下摆。</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刺绣</w:t>
            </w:r>
            <w:r>
              <w:rPr>
                <w:rFonts w:hint="eastAsia" w:ascii="宋体" w:hAnsi="宋体" w:eastAsia="宋体" w:cs="Times New Roman"/>
                <w:color w:val="000000"/>
                <w:kern w:val="2"/>
                <w:sz w:val="18"/>
                <w:szCs w:val="18"/>
                <w:lang w:val="en-US" w:eastAsia="zh-CN" w:bidi="ar"/>
              </w:rPr>
              <w:t>LOGO</w:t>
            </w:r>
            <w:r>
              <w:rPr>
                <w:rFonts w:hint="eastAsia" w:ascii="宋体" w:hAnsi="宋体" w:eastAsia="宋体" w:cs="宋体"/>
                <w:color w:val="000000"/>
                <w:kern w:val="2"/>
                <w:sz w:val="18"/>
                <w:szCs w:val="18"/>
                <w:lang w:val="en-US" w:eastAsia="zh-CN" w:bidi="ar"/>
              </w:rPr>
              <w:t>，两侧协插兜；短袖上衣，双兜牙滚反光滚边，后背有风琴褶，下摆调节袢，裤腰加松紧，有双侧腿袋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秋冬季防静电套装</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vertAlign w:val="superscript"/>
              </w:rPr>
            </w:pPr>
            <w:r>
              <w:rPr>
                <w:rFonts w:hint="eastAsia" w:ascii="宋体" w:hAnsi="宋体" w:eastAsia="宋体" w:cs="宋体"/>
                <w:color w:val="000000"/>
                <w:kern w:val="2"/>
                <w:sz w:val="18"/>
                <w:szCs w:val="18"/>
                <w:lang w:val="en-US" w:eastAsia="zh-CN" w:bidi="ar"/>
              </w:rPr>
              <w:t>CVC防静电（网格）C/T 60/40 32/2*32/2 100*53，成分：</w:t>
            </w:r>
            <w:r>
              <w:rPr>
                <w:rFonts w:hint="eastAsia" w:ascii="宋体" w:hAnsi="宋体" w:eastAsia="宋体" w:cs="Times New Roman"/>
                <w:color w:val="000000"/>
                <w:kern w:val="2"/>
                <w:sz w:val="18"/>
                <w:szCs w:val="18"/>
                <w:lang w:val="en-US" w:eastAsia="zh-CN" w:bidi="ar"/>
              </w:rPr>
              <w:t>T</w:t>
            </w:r>
            <w:r>
              <w:rPr>
                <w:rFonts w:hint="eastAsia" w:ascii="宋体" w:hAnsi="宋体" w:eastAsia="宋体" w:cs="宋体"/>
                <w:color w:val="000000"/>
                <w:kern w:val="2"/>
                <w:sz w:val="18"/>
                <w:szCs w:val="18"/>
                <w:lang w:val="en-US" w:eastAsia="zh-CN" w:bidi="ar"/>
              </w:rPr>
              <w:t>38%/</w:t>
            </w:r>
            <w:r>
              <w:rPr>
                <w:rFonts w:hint="eastAsia" w:ascii="宋体" w:hAnsi="宋体" w:eastAsia="宋体" w:cs="Times New Roman"/>
                <w:color w:val="000000"/>
                <w:kern w:val="2"/>
                <w:sz w:val="18"/>
                <w:szCs w:val="18"/>
                <w:lang w:val="en-US" w:eastAsia="zh-CN" w:bidi="ar"/>
              </w:rPr>
              <w:t>C</w:t>
            </w:r>
            <w:r>
              <w:rPr>
                <w:rFonts w:hint="eastAsia" w:ascii="宋体" w:hAnsi="宋体" w:eastAsia="宋体" w:cs="宋体"/>
                <w:color w:val="000000"/>
                <w:kern w:val="2"/>
                <w:sz w:val="18"/>
                <w:szCs w:val="18"/>
                <w:lang w:val="en-US" w:eastAsia="zh-CN" w:bidi="ar"/>
              </w:rPr>
              <w:t>59%/导电纱</w:t>
            </w:r>
            <w:r>
              <w:rPr>
                <w:rFonts w:hint="eastAsia" w:ascii="宋体" w:hAnsi="宋体" w:eastAsia="宋体" w:cs="Times New Roman"/>
                <w:color w:val="000000"/>
                <w:kern w:val="2"/>
                <w:sz w:val="18"/>
                <w:szCs w:val="18"/>
                <w:lang w:val="en-US" w:eastAsia="zh-CN" w:bidi="ar"/>
              </w:rPr>
              <w:t>:3%</w:t>
            </w:r>
            <w:r>
              <w:rPr>
                <w:rFonts w:hint="eastAsia" w:ascii="宋体" w:hAnsi="宋体" w:eastAsia="宋体" w:cs="Times New Roman"/>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克重：23</w:t>
            </w:r>
            <w:r>
              <w:rPr>
                <w:rFonts w:hint="eastAsia" w:ascii="宋体" w:hAnsi="宋体" w:eastAsia="宋体" w:cs="Times New Roman"/>
                <w:color w:val="000000"/>
                <w:kern w:val="2"/>
                <w:sz w:val="18"/>
                <w:szCs w:val="18"/>
                <w:lang w:val="en-US" w:eastAsia="zh-CN" w:bidi="ar"/>
              </w:rPr>
              <w:t>5</w:t>
            </w:r>
            <w:r>
              <w:rPr>
                <w:rFonts w:hint="eastAsia" w:ascii="宋体" w:hAnsi="宋体" w:eastAsia="宋体" w:cs="宋体"/>
                <w:color w:val="000000"/>
                <w:kern w:val="2"/>
                <w:sz w:val="18"/>
                <w:szCs w:val="18"/>
                <w:lang w:val="en-US" w:eastAsia="zh-CN" w:bidi="ar"/>
              </w:rPr>
              <w:t>±5g</w:t>
            </w:r>
            <w:r>
              <w:rPr>
                <w:rFonts w:hint="eastAsia" w:ascii="宋体" w:hAnsi="宋体"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m</w:t>
            </w:r>
            <w:r>
              <w:rPr>
                <w:rFonts w:hint="eastAsia" w:ascii="宋体" w:hAnsi="宋体" w:eastAsia="宋体" w:cs="宋体"/>
                <w:color w:val="000000"/>
                <w:kern w:val="2"/>
                <w:sz w:val="18"/>
                <w:szCs w:val="18"/>
                <w:vertAlign w:val="superscript"/>
                <w:lang w:val="en-US" w:eastAsia="zh-CN" w:bidi="ar"/>
              </w:rPr>
              <w:t>2</w:t>
            </w:r>
          </w:p>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注：衣服裤子面料一致</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Rp-p</w:t>
            </w:r>
          </w:p>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&lt;1x10</w:t>
            </w:r>
            <w:r>
              <w:rPr>
                <w:rFonts w:hint="eastAsia" w:ascii="宋体" w:hAnsi="宋体" w:eastAsia="宋体" w:cs="宋体"/>
                <w:color w:val="000000"/>
                <w:kern w:val="2"/>
                <w:sz w:val="18"/>
                <w:szCs w:val="18"/>
                <w:vertAlign w:val="superscript"/>
                <w:lang w:val="en-US" w:eastAsia="zh-CN" w:bidi="ar"/>
              </w:rPr>
              <w:t>10</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Times New Roman"/>
                <w:color w:val="000000"/>
                <w:kern w:val="2"/>
                <w:sz w:val="18"/>
                <w:szCs w:val="18"/>
                <w:lang w:val="en-US" w:eastAsia="zh-CN" w:bidi="ar"/>
              </w:rPr>
              <w:t>Y</w:t>
            </w:r>
            <w:r>
              <w:rPr>
                <w:rFonts w:hint="eastAsia" w:ascii="宋体" w:hAnsi="宋体" w:eastAsia="宋体" w:cs="宋体"/>
                <w:color w:val="000000"/>
                <w:kern w:val="2"/>
                <w:sz w:val="18"/>
                <w:szCs w:val="18"/>
                <w:lang w:val="en-US" w:eastAsia="zh-CN" w:bidi="ar"/>
              </w:rPr>
              <w:t>KK拉链、3M反光材料、调节腰、耐磨防撕，立体裁剪，不易褪色，不起球，双线加固，按扣设计，调节下摆。</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刺绣LOGO，长袖、拼色领口、斜插袋拼色兜牙，有胸兜，右兜绣字防静电里布。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春夏季防静电鞋</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Times New Roman"/>
                <w:color w:val="000000"/>
                <w:kern w:val="2"/>
                <w:sz w:val="18"/>
                <w:szCs w:val="18"/>
                <w:lang w:val="en-US" w:eastAsia="zh-CN" w:bidi="ar"/>
              </w:rPr>
              <w:t>PVC</w:t>
            </w:r>
            <w:r>
              <w:rPr>
                <w:rFonts w:hint="eastAsia" w:ascii="宋体" w:hAnsi="宋体" w:eastAsia="宋体" w:cs="宋体"/>
                <w:color w:val="000000"/>
                <w:kern w:val="2"/>
                <w:sz w:val="18"/>
                <w:szCs w:val="18"/>
                <w:lang w:val="en-US" w:eastAsia="zh-CN" w:bidi="ar"/>
              </w:rPr>
              <w:t>帆布</w:t>
            </w:r>
            <w:r>
              <w:rPr>
                <w:rFonts w:hint="eastAsia" w:ascii="宋体"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胶底</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Rp-g</w:t>
            </w:r>
          </w:p>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&lt;1.0x10</w:t>
            </w:r>
            <w:r>
              <w:rPr>
                <w:rFonts w:hint="eastAsia" w:ascii="宋体" w:hAnsi="宋体" w:eastAsia="宋体" w:cs="宋体"/>
                <w:color w:val="000000"/>
                <w:kern w:val="2"/>
                <w:sz w:val="18"/>
                <w:szCs w:val="18"/>
                <w:vertAlign w:val="superscript"/>
                <w:lang w:val="en-US" w:eastAsia="zh-CN" w:bidi="ar"/>
              </w:rPr>
              <w:t>7</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网面、防静电、防滑、软底、注塑工艺</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低帮</w:t>
            </w:r>
            <w:r>
              <w:rPr>
                <w:rFonts w:hint="eastAsia" w:ascii="宋体"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松紧闭合</w:t>
            </w:r>
            <w:r>
              <w:rPr>
                <w:rFonts w:hint="eastAsia" w:ascii="宋体"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网面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rPr>
            </w:pPr>
            <w:r>
              <w:rPr>
                <w:rFonts w:hint="eastAsia" w:ascii="宋体" w:hAnsi="宋体" w:eastAsia="宋体" w:cs="宋体"/>
                <w:color w:val="000000"/>
                <w:kern w:val="2"/>
                <w:sz w:val="18"/>
                <w:szCs w:val="18"/>
                <w:lang w:val="en-US" w:eastAsia="zh-CN" w:bidi="ar"/>
              </w:rPr>
              <w:t>秋冬季防静电鞋</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360" w:firstLineChars="200"/>
              <w:jc w:val="both"/>
              <w:textAlignment w:val="center"/>
              <w:rPr>
                <w:rFonts w:hint="eastAsia" w:ascii="宋体" w:hAnsi="宋体" w:eastAsia="宋体" w:cs="Times New Roman"/>
                <w:color w:val="000000"/>
                <w:kern w:val="2"/>
                <w:sz w:val="18"/>
                <w:szCs w:val="18"/>
              </w:rPr>
            </w:pPr>
            <w:r>
              <w:rPr>
                <w:rFonts w:hint="eastAsia" w:ascii="宋体" w:hAnsi="宋体" w:eastAsia="宋体" w:cs="Times New Roman"/>
                <w:color w:val="000000"/>
                <w:kern w:val="2"/>
                <w:sz w:val="18"/>
                <w:szCs w:val="18"/>
                <w:lang w:val="en-US" w:eastAsia="zh-CN" w:bidi="ar"/>
              </w:rPr>
              <w:t>PVC</w:t>
            </w:r>
            <w:r>
              <w:rPr>
                <w:rFonts w:hint="eastAsia" w:ascii="宋体" w:hAnsi="宋体" w:eastAsia="宋体" w:cs="宋体"/>
                <w:color w:val="000000"/>
                <w:kern w:val="2"/>
                <w:sz w:val="18"/>
                <w:szCs w:val="18"/>
                <w:lang w:val="en-US" w:eastAsia="zh-CN" w:bidi="ar"/>
              </w:rPr>
              <w:t>帆布</w:t>
            </w:r>
            <w:r>
              <w:rPr>
                <w:rFonts w:hint="eastAsia" w:ascii="宋体"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胶底</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Rp-g</w:t>
            </w:r>
          </w:p>
          <w:p>
            <w:pPr>
              <w:pStyle w:val="5"/>
              <w:keepNext w:val="0"/>
              <w:keepLines w:val="0"/>
              <w:widowControl w:val="0"/>
              <w:suppressLineNumbers w:val="0"/>
              <w:spacing w:before="0" w:beforeAutospacing="0" w:after="80" w:afterAutospacing="0" w:line="360" w:lineRule="auto"/>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&lt;1.0x10</w:t>
            </w:r>
            <w:r>
              <w:rPr>
                <w:rFonts w:hint="eastAsia" w:ascii="宋体" w:hAnsi="宋体" w:eastAsia="宋体" w:cs="宋体"/>
                <w:color w:val="000000"/>
                <w:kern w:val="2"/>
                <w:sz w:val="18"/>
                <w:szCs w:val="18"/>
                <w:vertAlign w:val="superscript"/>
                <w:lang w:val="en-US" w:eastAsia="zh-CN" w:bidi="ar"/>
              </w:rPr>
              <w:t>7</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光面、防静电、防滑、软底、注塑工艺</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中帮</w:t>
            </w:r>
            <w:r>
              <w:rPr>
                <w:rFonts w:hint="eastAsia" w:ascii="宋体"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松紧闭合</w:t>
            </w:r>
            <w:r>
              <w:rPr>
                <w:rFonts w:hint="eastAsia" w:ascii="宋体" w:hAnsi="宋体" w:eastAsia="宋体" w:cs="Times New Roman"/>
                <w:color w:val="000000"/>
                <w:kern w:val="2"/>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rPr>
            </w:pPr>
            <w:r>
              <w:rPr>
                <w:rFonts w:hint="eastAsia" w:ascii="宋体" w:hAnsi="宋体" w:eastAsia="宋体" w:cs="宋体"/>
                <w:color w:val="000000"/>
                <w:kern w:val="2"/>
                <w:sz w:val="18"/>
                <w:szCs w:val="18"/>
                <w:lang w:val="en-US" w:eastAsia="zh-CN" w:bidi="ar"/>
              </w:rPr>
              <w:t>春夏季防静电帽子</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CVC防静电（网格）C/T 60/40 32*32 130*70，成分：</w:t>
            </w:r>
            <w:r>
              <w:rPr>
                <w:rFonts w:hint="eastAsia" w:ascii="宋体" w:hAnsi="宋体" w:eastAsia="宋体" w:cs="Times New Roman"/>
                <w:color w:val="000000"/>
                <w:kern w:val="2"/>
                <w:sz w:val="18"/>
                <w:szCs w:val="18"/>
                <w:lang w:val="en-US" w:eastAsia="zh-CN" w:bidi="ar"/>
              </w:rPr>
              <w:t>T</w:t>
            </w:r>
            <w:r>
              <w:rPr>
                <w:rFonts w:hint="eastAsia" w:ascii="宋体" w:hAnsi="宋体" w:eastAsia="宋体" w:cs="宋体"/>
                <w:color w:val="000000"/>
                <w:kern w:val="2"/>
                <w:sz w:val="18"/>
                <w:szCs w:val="18"/>
                <w:lang w:val="en-US" w:eastAsia="zh-CN" w:bidi="ar"/>
              </w:rPr>
              <w:t>38%/</w:t>
            </w:r>
            <w:r>
              <w:rPr>
                <w:rFonts w:hint="eastAsia" w:ascii="宋体" w:hAnsi="宋体" w:eastAsia="宋体" w:cs="Times New Roman"/>
                <w:color w:val="000000"/>
                <w:kern w:val="2"/>
                <w:sz w:val="18"/>
                <w:szCs w:val="18"/>
                <w:lang w:val="en-US" w:eastAsia="zh-CN" w:bidi="ar"/>
              </w:rPr>
              <w:t>C</w:t>
            </w:r>
            <w:r>
              <w:rPr>
                <w:rFonts w:hint="eastAsia" w:ascii="宋体" w:hAnsi="宋体" w:eastAsia="宋体" w:cs="宋体"/>
                <w:color w:val="000000"/>
                <w:kern w:val="2"/>
                <w:sz w:val="18"/>
                <w:szCs w:val="18"/>
                <w:lang w:val="en-US" w:eastAsia="zh-CN" w:bidi="ar"/>
              </w:rPr>
              <w:t>59%/导电纱</w:t>
            </w:r>
            <w:r>
              <w:rPr>
                <w:rFonts w:hint="eastAsia" w:ascii="宋体" w:hAnsi="宋体" w:eastAsia="宋体" w:cs="Times New Roman"/>
                <w:color w:val="000000"/>
                <w:kern w:val="2"/>
                <w:sz w:val="18"/>
                <w:szCs w:val="18"/>
                <w:lang w:val="en-US" w:eastAsia="zh-CN" w:bidi="ar"/>
              </w:rPr>
              <w:t>:3%</w:t>
            </w:r>
            <w:r>
              <w:rPr>
                <w:rFonts w:hint="eastAsia" w:ascii="宋体" w:hAnsi="宋体" w:eastAsia="宋体" w:cs="Times New Roman"/>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克重：</w:t>
            </w:r>
            <w:r>
              <w:rPr>
                <w:rFonts w:hint="eastAsia" w:ascii="宋体" w:hAnsi="宋体" w:eastAsia="宋体" w:cs="Times New Roman"/>
                <w:color w:val="000000"/>
                <w:kern w:val="2"/>
                <w:sz w:val="18"/>
                <w:szCs w:val="18"/>
                <w:lang w:val="en-US" w:eastAsia="zh-CN" w:bidi="ar"/>
              </w:rPr>
              <w:t>155</w:t>
            </w:r>
            <w:r>
              <w:rPr>
                <w:rFonts w:hint="eastAsia" w:ascii="宋体" w:hAnsi="宋体" w:eastAsia="宋体" w:cs="宋体"/>
                <w:color w:val="000000"/>
                <w:kern w:val="2"/>
                <w:sz w:val="18"/>
                <w:szCs w:val="18"/>
                <w:lang w:val="en-US" w:eastAsia="zh-CN" w:bidi="ar"/>
              </w:rPr>
              <w:t>±5g</w:t>
            </w:r>
            <w:r>
              <w:rPr>
                <w:rFonts w:hint="eastAsia" w:ascii="宋体" w:hAnsi="宋体"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m</w:t>
            </w:r>
            <w:r>
              <w:rPr>
                <w:rFonts w:hint="eastAsia" w:ascii="宋体" w:hAnsi="宋体" w:eastAsia="宋体" w:cs="宋体"/>
                <w:color w:val="000000"/>
                <w:kern w:val="2"/>
                <w:sz w:val="18"/>
                <w:szCs w:val="18"/>
                <w:vertAlign w:val="superscript"/>
                <w:lang w:val="en-US" w:eastAsia="zh-CN" w:bidi="ar"/>
              </w:rPr>
              <w:t>2</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Rp-p</w:t>
            </w:r>
          </w:p>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&lt;1x10</w:t>
            </w:r>
            <w:r>
              <w:rPr>
                <w:rFonts w:hint="eastAsia" w:ascii="宋体" w:hAnsi="宋体" w:eastAsia="宋体" w:cs="宋体"/>
                <w:color w:val="000000"/>
                <w:kern w:val="2"/>
                <w:sz w:val="18"/>
                <w:szCs w:val="18"/>
                <w:vertAlign w:val="superscript"/>
                <w:lang w:val="en-US" w:eastAsia="zh-CN" w:bidi="ar"/>
              </w:rPr>
              <w:t>10</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透气网、立体缝制、平缝、压力定型</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鸭舌帽型、正面刺绣“CRSC+下划线、区分长、短帽檐两种、短款后半部分为网眼布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rPr>
            </w:pPr>
            <w:r>
              <w:rPr>
                <w:rFonts w:hint="eastAsia" w:ascii="宋体" w:hAnsi="宋体" w:eastAsia="宋体" w:cs="宋体"/>
                <w:color w:val="000000"/>
                <w:kern w:val="2"/>
                <w:sz w:val="18"/>
                <w:szCs w:val="18"/>
                <w:lang w:val="en-US" w:eastAsia="zh-CN" w:bidi="ar"/>
              </w:rPr>
              <w:t>秋冬季防静电帽子</w:t>
            </w:r>
          </w:p>
        </w:tc>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CVC防静电（网格）C/T 60/40 32/2*32/2 100*53，成分：</w:t>
            </w:r>
            <w:r>
              <w:rPr>
                <w:rFonts w:hint="eastAsia" w:ascii="宋体" w:hAnsi="宋体" w:eastAsia="宋体" w:cs="Times New Roman"/>
                <w:color w:val="000000"/>
                <w:kern w:val="2"/>
                <w:sz w:val="18"/>
                <w:szCs w:val="18"/>
                <w:lang w:val="en-US" w:eastAsia="zh-CN" w:bidi="ar"/>
              </w:rPr>
              <w:t>T</w:t>
            </w:r>
            <w:r>
              <w:rPr>
                <w:rFonts w:hint="eastAsia" w:ascii="宋体" w:hAnsi="宋体" w:eastAsia="宋体" w:cs="宋体"/>
                <w:color w:val="000000"/>
                <w:kern w:val="2"/>
                <w:sz w:val="18"/>
                <w:szCs w:val="18"/>
                <w:lang w:val="en-US" w:eastAsia="zh-CN" w:bidi="ar"/>
              </w:rPr>
              <w:t>38%/</w:t>
            </w:r>
            <w:r>
              <w:rPr>
                <w:rFonts w:hint="eastAsia" w:ascii="宋体" w:hAnsi="宋体" w:eastAsia="宋体" w:cs="Times New Roman"/>
                <w:color w:val="000000"/>
                <w:kern w:val="2"/>
                <w:sz w:val="18"/>
                <w:szCs w:val="18"/>
                <w:lang w:val="en-US" w:eastAsia="zh-CN" w:bidi="ar"/>
              </w:rPr>
              <w:t>C</w:t>
            </w:r>
            <w:r>
              <w:rPr>
                <w:rFonts w:hint="eastAsia" w:ascii="宋体" w:hAnsi="宋体" w:eastAsia="宋体" w:cs="宋体"/>
                <w:color w:val="000000"/>
                <w:kern w:val="2"/>
                <w:sz w:val="18"/>
                <w:szCs w:val="18"/>
                <w:lang w:val="en-US" w:eastAsia="zh-CN" w:bidi="ar"/>
              </w:rPr>
              <w:t>59%/导电纱</w:t>
            </w:r>
            <w:r>
              <w:rPr>
                <w:rFonts w:hint="eastAsia" w:ascii="宋体" w:hAnsi="宋体" w:eastAsia="宋体" w:cs="Times New Roman"/>
                <w:color w:val="000000"/>
                <w:kern w:val="2"/>
                <w:sz w:val="18"/>
                <w:szCs w:val="18"/>
                <w:lang w:val="en-US" w:eastAsia="zh-CN" w:bidi="ar"/>
              </w:rPr>
              <w:t>:3%</w:t>
            </w:r>
            <w:r>
              <w:rPr>
                <w:rFonts w:hint="eastAsia" w:ascii="宋体" w:hAnsi="宋体" w:eastAsia="宋体" w:cs="Times New Roman"/>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克重：23</w:t>
            </w:r>
            <w:r>
              <w:rPr>
                <w:rFonts w:hint="eastAsia" w:ascii="宋体" w:hAnsi="宋体" w:eastAsia="宋体" w:cs="Times New Roman"/>
                <w:color w:val="000000"/>
                <w:kern w:val="2"/>
                <w:sz w:val="18"/>
                <w:szCs w:val="18"/>
                <w:lang w:val="en-US" w:eastAsia="zh-CN" w:bidi="ar"/>
              </w:rPr>
              <w:t>5</w:t>
            </w:r>
            <w:r>
              <w:rPr>
                <w:rFonts w:hint="eastAsia" w:ascii="宋体" w:hAnsi="宋体" w:eastAsia="宋体" w:cs="宋体"/>
                <w:color w:val="000000"/>
                <w:kern w:val="2"/>
                <w:sz w:val="18"/>
                <w:szCs w:val="18"/>
                <w:lang w:val="en-US" w:eastAsia="zh-CN" w:bidi="ar"/>
              </w:rPr>
              <w:t>±5g</w:t>
            </w:r>
            <w:r>
              <w:rPr>
                <w:rFonts w:hint="eastAsia" w:ascii="宋体" w:hAnsi="宋体"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m</w:t>
            </w:r>
            <w:r>
              <w:rPr>
                <w:rFonts w:hint="eastAsia" w:ascii="宋体" w:hAnsi="宋体" w:eastAsia="宋体" w:cs="宋体"/>
                <w:color w:val="000000"/>
                <w:kern w:val="2"/>
                <w:sz w:val="18"/>
                <w:szCs w:val="18"/>
                <w:vertAlign w:val="superscript"/>
                <w:lang w:val="en-US" w:eastAsia="zh-CN" w:bidi="ar"/>
              </w:rPr>
              <w:t>2</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Rp-p</w:t>
            </w:r>
          </w:p>
          <w:p>
            <w:pPr>
              <w:pStyle w:val="5"/>
              <w:keepNext w:val="0"/>
              <w:keepLines w:val="0"/>
              <w:widowControl w:val="0"/>
              <w:suppressLineNumbers w:val="0"/>
              <w:wordWrap w:val="0"/>
              <w:spacing w:before="0" w:beforeAutospacing="0" w:after="80" w:afterAutospacing="0" w:line="360" w:lineRule="auto"/>
              <w:ind w:left="0" w:right="0" w:firstLine="0"/>
              <w:jc w:val="center"/>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&lt;1x10</w:t>
            </w:r>
            <w:r>
              <w:rPr>
                <w:rFonts w:hint="eastAsia" w:ascii="宋体" w:hAnsi="宋体" w:eastAsia="宋体" w:cs="宋体"/>
                <w:color w:val="000000"/>
                <w:kern w:val="2"/>
                <w:sz w:val="18"/>
                <w:szCs w:val="18"/>
                <w:vertAlign w:val="superscript"/>
                <w:lang w:val="en-US" w:eastAsia="zh-CN" w:bidi="ar"/>
              </w:rPr>
              <w:t>10</w:t>
            </w:r>
            <w:r>
              <w:rPr>
                <w:rFonts w:hint="eastAsia" w:ascii="宋体" w:hAnsi="宋体" w:eastAsia="宋体" w:cs="宋体"/>
                <w:color w:val="000000"/>
                <w:kern w:val="2"/>
                <w:sz w:val="18"/>
                <w:szCs w:val="18"/>
                <w:lang w:val="en-US" w:eastAsia="zh-CN" w:bidi="ar"/>
              </w:rPr>
              <w:t>Ω</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透气网、立体缝制、平缝、压力定型</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鸭舌帽型、正面刺绣“CRSC+下划线、区分长、短帽檐两种、短款后半部分为网眼布</w:t>
            </w:r>
          </w:p>
        </w:tc>
      </w:tr>
    </w:tbl>
    <w:p>
      <w:pPr>
        <w:bidi w:val="0"/>
        <w:rPr>
          <w:rFonts w:hint="eastAsia"/>
        </w:rPr>
      </w:pP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报价要求</w:t>
      </w:r>
    </w:p>
    <w:p>
      <w:pPr>
        <w:widowControl/>
        <w:spacing w:line="360" w:lineRule="auto"/>
        <w:ind w:firstLine="422" w:firstLineChars="200"/>
        <w:jc w:val="left"/>
        <w:rPr>
          <w:rFonts w:hint="eastAsia" w:ascii="宋体" w:hAnsi="宋体" w:eastAsia="宋体" w:cs="宋体"/>
          <w:b/>
        </w:rPr>
      </w:pPr>
      <w:r>
        <w:rPr>
          <w:rFonts w:hint="eastAsia" w:ascii="宋体" w:hAnsi="宋体" w:eastAsia="宋体" w:cs="宋体"/>
          <w:b/>
          <w:color w:val="000000"/>
        </w:rPr>
        <w:t>（1）</w:t>
      </w:r>
      <w:r>
        <w:rPr>
          <w:rFonts w:hint="eastAsia" w:ascii="宋体" w:hAnsi="宋体" w:eastAsia="宋体" w:cs="宋体"/>
          <w:b/>
          <w:lang w:eastAsia="zh-CN"/>
        </w:rPr>
        <w:t>供应商</w:t>
      </w:r>
      <w:r>
        <w:rPr>
          <w:rFonts w:hint="eastAsia" w:ascii="宋体" w:hAnsi="宋体" w:eastAsia="宋体" w:cs="宋体"/>
          <w:b/>
          <w:lang w:val="en-US" w:eastAsia="zh-CN"/>
        </w:rPr>
        <w:t>可</w:t>
      </w:r>
      <w:r>
        <w:rPr>
          <w:rFonts w:hint="eastAsia" w:ascii="宋体" w:hAnsi="宋体" w:eastAsia="宋体" w:cs="宋体"/>
          <w:b/>
          <w:lang w:eastAsia="zh-CN"/>
        </w:rPr>
        <w:t>选择对本项目的部分产品进行报价</w:t>
      </w:r>
      <w:r>
        <w:rPr>
          <w:rFonts w:hint="eastAsia" w:ascii="宋体" w:hAnsi="宋体" w:eastAsia="宋体" w:cs="宋体"/>
          <w:b/>
        </w:rPr>
        <w:t>。</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Cs/>
          <w:kern w:val="0"/>
          <w:szCs w:val="21"/>
          <w:lang w:val="zh-CN"/>
        </w:rPr>
        <w:t>2</w:t>
      </w:r>
      <w:r>
        <w:rPr>
          <w:rFonts w:hint="eastAsia" w:ascii="宋体" w:hAnsi="宋体" w:eastAsia="宋体" w:cs="宋体"/>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hint="eastAsia" w:ascii="宋体" w:hAnsi="宋体" w:eastAsia="宋体" w:cs="宋体"/>
          <w:szCs w:val="21"/>
        </w:rPr>
      </w:pPr>
      <w:bookmarkStart w:id="0" w:name="_Hlk117013315"/>
      <w:r>
        <w:rPr>
          <w:rFonts w:hint="eastAsia" w:ascii="宋体" w:hAnsi="宋体" w:eastAsia="宋体" w:cs="宋体"/>
          <w:szCs w:val="21"/>
        </w:rPr>
        <w:t>（</w:t>
      </w:r>
      <w:r>
        <w:rPr>
          <w:rFonts w:hint="eastAsia" w:ascii="宋体" w:hAnsi="宋体" w:eastAsia="宋体" w:cs="宋体"/>
          <w:bCs/>
          <w:kern w:val="0"/>
          <w:szCs w:val="21"/>
          <w:lang w:val="zh-CN"/>
        </w:rPr>
        <w:t>3</w:t>
      </w:r>
      <w:r>
        <w:rPr>
          <w:rFonts w:hint="eastAsia" w:ascii="宋体" w:hAnsi="宋体" w:eastAsia="宋体" w:cs="宋体"/>
          <w:szCs w:val="21"/>
        </w:rPr>
        <w:t>）</w:t>
      </w:r>
      <w:bookmarkEnd w:id="0"/>
      <w:r>
        <w:rPr>
          <w:rFonts w:hint="eastAsia" w:ascii="宋体" w:hAnsi="宋体" w:eastAsia="宋体" w:cs="宋体"/>
          <w:szCs w:val="21"/>
        </w:rPr>
        <w:t>供应商报价应包含采购标的、运费、税金及履行本项目所必需的其他全部费用；</w:t>
      </w:r>
    </w:p>
    <w:p>
      <w:pPr>
        <w:widowControl/>
        <w:spacing w:line="360" w:lineRule="auto"/>
        <w:ind w:firstLine="420" w:firstLineChars="200"/>
        <w:jc w:val="left"/>
        <w:rPr>
          <w:rFonts w:hint="eastAsia" w:ascii="宋体" w:hAnsi="宋体" w:eastAsia="宋体" w:cs="宋体"/>
          <w:b/>
          <w:bCs/>
          <w:color w:val="000000"/>
        </w:rPr>
      </w:pPr>
      <w:r>
        <w:rPr>
          <w:rFonts w:hint="eastAsia" w:ascii="宋体" w:hAnsi="宋体" w:eastAsia="宋体" w:cs="宋体"/>
          <w:szCs w:val="21"/>
        </w:rPr>
        <w:t>（4）</w:t>
      </w:r>
      <w:r>
        <w:rPr>
          <w:rFonts w:hint="eastAsia" w:ascii="宋体" w:hAnsi="宋体" w:eastAsia="宋体" w:cs="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（6）当供应商最终报价超出采购人可以接受的价格时，谈判将终止。</w:t>
      </w:r>
    </w:p>
    <w:p>
      <w:pPr>
        <w:widowControl/>
        <w:spacing w:line="360" w:lineRule="auto"/>
        <w:ind w:firstLine="422" w:firstLineChars="200"/>
        <w:jc w:val="left"/>
        <w:rPr>
          <w:rFonts w:hint="eastAsia" w:ascii="宋体" w:hAnsi="宋体" w:eastAsia="宋体" w:cs="宋体"/>
          <w:b/>
          <w:bCs/>
          <w:color w:val="000000"/>
        </w:rPr>
      </w:pPr>
      <w:r>
        <w:rPr>
          <w:rFonts w:hint="eastAsia" w:ascii="宋体" w:hAnsi="宋体" w:eastAsia="宋体" w:cs="宋体"/>
          <w:b/>
          <w:bCs/>
          <w:color w:val="000000"/>
        </w:rPr>
        <w:t>（7）供应商按采购内容数量报价，实际采购数量以采购人签订采购合同/采购订单数量为准。</w:t>
      </w:r>
    </w:p>
    <w:p>
      <w:pPr>
        <w:pStyle w:val="12"/>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szCs w:val="21"/>
        </w:rPr>
        <w:t>评审小组</w:t>
      </w:r>
    </w:p>
    <w:p>
      <w:pPr>
        <w:pStyle w:val="12"/>
        <w:widowControl/>
        <w:spacing w:line="360" w:lineRule="auto"/>
        <w:ind w:firstLine="564" w:firstLineChars="269"/>
        <w:jc w:val="left"/>
        <w:rPr>
          <w:rFonts w:hint="eastAsia" w:ascii="宋体" w:hAnsi="宋体" w:eastAsia="宋体" w:cs="宋体"/>
          <w:szCs w:val="21"/>
        </w:rPr>
      </w:pPr>
      <w:r>
        <w:rPr>
          <w:rFonts w:hint="eastAsia" w:ascii="宋体" w:hAnsi="宋体" w:eastAsia="宋体" w:cs="宋体"/>
          <w:szCs w:val="21"/>
        </w:rPr>
        <w:t>采购人依据项目的复杂程度和技术要求成立评审小组，评审小组由技术、商务、采购</w:t>
      </w:r>
      <w:bookmarkStart w:id="1" w:name="_GoBack"/>
      <w:bookmarkEnd w:id="1"/>
      <w:r>
        <w:rPr>
          <w:rFonts w:hint="eastAsia" w:ascii="宋体" w:hAnsi="宋体" w:eastAsia="宋体" w:cs="宋体"/>
          <w:szCs w:val="21"/>
        </w:rPr>
        <w:t>等方面的三人及以上的单数组成。</w:t>
      </w: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评审办法</w:t>
      </w:r>
    </w:p>
    <w:tbl>
      <w:tblPr>
        <w:tblStyle w:val="6"/>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72"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最低价法</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2.1.1</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ascii="宋体" w:hAnsi="宋体" w:eastAsia="宋体" w:cs="宋体"/>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2.1.2</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依法设立的证明材料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资质要求证明材料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供应商应提供相关资质证书副本的复印件，以证明供应商具有承担本项目要求的资质，</w:t>
            </w:r>
            <w:r>
              <w:rPr>
                <w:rFonts w:hint="eastAsia" w:ascii="宋体" w:hAnsi="宋体" w:eastAsia="宋体" w:cs="宋体"/>
                <w:szCs w:val="21"/>
              </w:rPr>
              <w:t>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财务要求证明材料</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□不适用</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业绩要求证明材料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合同</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中标通知书/成交通知书</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竣工验收报告/验收证明</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业主证明</w:t>
            </w:r>
          </w:p>
          <w:p>
            <w:pPr>
              <w:autoSpaceDE w:val="0"/>
              <w:autoSpaceDN w:val="0"/>
              <w:spacing w:line="276" w:lineRule="auto"/>
              <w:ind w:firstLine="210" w:firstLineChars="100"/>
              <w:jc w:val="left"/>
              <w:rPr>
                <w:rFonts w:hint="eastAsia" w:ascii="宋体" w:hAnsi="宋体" w:eastAsia="宋体" w:cs="宋体"/>
                <w:color w:val="221E1F"/>
                <w:szCs w:val="21"/>
                <w:u w:val="single"/>
              </w:rPr>
            </w:pPr>
            <w:r>
              <w:rPr>
                <w:rFonts w:hint="eastAsia" w:ascii="宋体" w:hAnsi="宋体" w:eastAsia="宋体" w:cs="宋体"/>
                <w:color w:val="221E1F"/>
                <w:szCs w:val="21"/>
              </w:rPr>
              <w:t>□其他材料：</w:t>
            </w:r>
            <w:r>
              <w:rPr>
                <w:rFonts w:hint="eastAsia" w:ascii="宋体" w:hAnsi="宋体" w:eastAsia="宋体" w:cs="宋体"/>
                <w:color w:val="221E1F"/>
                <w:szCs w:val="21"/>
                <w:u w:val="single"/>
              </w:rPr>
              <w:t xml:space="preserve">          </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业绩证明材料种类要求：</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提供上述勾选的任一项证明材料即可</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□需同时提供上述勾选的所有证明材料</w:t>
            </w:r>
          </w:p>
          <w:p>
            <w:pPr>
              <w:widowControl/>
              <w:spacing w:line="276" w:lineRule="auto"/>
              <w:ind w:firstLine="210" w:firstLineChars="100"/>
              <w:jc w:val="left"/>
              <w:rPr>
                <w:rFonts w:hint="eastAsia" w:ascii="宋体" w:hAnsi="宋体" w:eastAsia="宋体" w:cs="宋体"/>
                <w:kern w:val="0"/>
                <w:szCs w:val="21"/>
              </w:rPr>
            </w:pPr>
            <w:r>
              <w:rPr>
                <w:rFonts w:hint="eastAsia" w:ascii="宋体" w:hAnsi="宋体" w:eastAsia="宋体" w:cs="宋体"/>
                <w:color w:val="221E1F"/>
                <w:szCs w:val="21"/>
              </w:rPr>
              <w:t>□其他要求：</w:t>
            </w:r>
            <w:r>
              <w:rPr>
                <w:rFonts w:hint="eastAsia" w:ascii="宋体" w:hAnsi="宋体" w:eastAsia="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信誉要求证明材料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2.1.3</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（2）供应商报价应包含采购标的、运费、税金及履行本项目所必需的其他全部费用。</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hint="eastAsia" w:ascii="宋体" w:hAnsi="宋体" w:eastAsia="宋体" w:cs="宋体"/>
                <w:szCs w:val="21"/>
              </w:rPr>
            </w:pPr>
            <w:r>
              <w:rPr>
                <w:rFonts w:hint="eastAsia" w:ascii="宋体" w:hAnsi="宋体" w:eastAsia="宋体" w:cs="宋体"/>
                <w:szCs w:val="21"/>
              </w:rPr>
              <w:t>允许偏差的范围：</w:t>
            </w:r>
            <w:r>
              <w:rPr>
                <w:rFonts w:hint="eastAsia" w:ascii="宋体" w:hAnsi="宋体" w:eastAsia="宋体" w:cs="宋体"/>
                <w:color w:val="221E1F"/>
                <w:szCs w:val="21"/>
                <w:u w:val="single"/>
              </w:rPr>
              <w:t xml:space="preserve">   /   </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允许偏差的项数：</w:t>
            </w:r>
            <w:r>
              <w:rPr>
                <w:rFonts w:hint="eastAsia" w:ascii="宋体" w:hAnsi="宋体" w:eastAsia="宋体" w:cs="宋体"/>
                <w:color w:val="221E1F"/>
                <w:szCs w:val="21"/>
                <w:u w:val="single"/>
              </w:rPr>
              <w:t xml:space="preserve">  / </w:t>
            </w:r>
            <w:r>
              <w:rPr>
                <w:rFonts w:hint="eastAsia" w:ascii="宋体" w:hAnsi="宋体" w:eastAsia="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hint="eastAsia" w:ascii="宋体" w:hAnsi="宋体" w:eastAsia="宋体" w:cs="宋体"/>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3.2.2</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由评审小组抽签决定</w:t>
            </w:r>
          </w:p>
        </w:tc>
      </w:tr>
    </w:tbl>
    <w:p>
      <w:pPr>
        <w:widowControl/>
        <w:spacing w:line="360" w:lineRule="auto"/>
        <w:jc w:val="left"/>
        <w:rPr>
          <w:rFonts w:hint="eastAsia" w:ascii="宋体" w:hAnsi="宋体" w:eastAsia="宋体" w:cs="宋体"/>
          <w:color w:val="000000"/>
        </w:rPr>
      </w:pP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询价文件的澄清</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采购人可以书面形式澄清和修改询价文件，并通知所有已提交报价和文件的供应商。</w:t>
      </w:r>
    </w:p>
    <w:p>
      <w:pPr>
        <w:pStyle w:val="12"/>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color w:val="000000"/>
        </w:rPr>
        <w:t>响应文件的澄清</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2"/>
        <w:widowControl/>
        <w:numPr>
          <w:ilvl w:val="0"/>
          <w:numId w:val="1"/>
        </w:numPr>
        <w:spacing w:line="360" w:lineRule="auto"/>
        <w:ind w:firstLineChars="0"/>
        <w:jc w:val="left"/>
        <w:rPr>
          <w:rFonts w:hint="eastAsia" w:ascii="宋体" w:hAnsi="宋体" w:eastAsia="宋体" w:cs="宋体"/>
          <w:bCs/>
          <w:color w:val="000000"/>
        </w:rPr>
      </w:pPr>
      <w:r>
        <w:rPr>
          <w:rFonts w:hint="eastAsia" w:ascii="宋体" w:hAnsi="宋体" w:eastAsia="宋体" w:cs="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（1）为采购人不具有独立法人资格的附属机构（单位）；</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（2）与本包件的其他供应商为同一个单位负责人；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（3）与本包件的其他供应商存在控股、管理关系；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（4）为本包件的代理机构；</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（5）与本包件的代理机构同为一个法定代表人；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（6）与本包件的代理机构存在控股或参股关系；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（7）被依法暂停或取消投标资格；</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（8）被责令停产停业、暂扣或者吊销许可证、暂扣或者吊销执照；</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（9）进入清算程序，或被宣告破产，或其他丧失履约能力的情形；</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（10）在最近三年内发生重大产品质量问题（以相关行业主管部门的行政处罚决定或司法 机关出具的有关法律文书为准）；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（11）被工商行政管理机关在全国企业信用信息公示系统中列入严重违法失信企业名单；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（12）被最高人民法院在“信用中国”网站（www.creditchina.gov.cn）或各级信用信息共享平台中列入失信被执行人名单；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（14）法律法规或供应商须知前附表规定的其他情形</w:t>
      </w:r>
    </w:p>
    <w:p>
      <w:pPr>
        <w:pStyle w:val="12"/>
        <w:widowControl/>
        <w:numPr>
          <w:ilvl w:val="0"/>
          <w:numId w:val="1"/>
        </w:numPr>
        <w:spacing w:line="360" w:lineRule="auto"/>
        <w:ind w:firstLineChars="0"/>
        <w:jc w:val="left"/>
        <w:rPr>
          <w:rFonts w:hint="eastAsia" w:ascii="宋体" w:hAnsi="宋体" w:eastAsia="宋体" w:cs="宋体"/>
          <w:bCs/>
          <w:color w:val="000000"/>
        </w:rPr>
      </w:pPr>
      <w:r>
        <w:rPr>
          <w:rFonts w:hint="eastAsia" w:ascii="宋体" w:hAnsi="宋体" w:eastAsia="宋体" w:cs="宋体"/>
          <w:bCs/>
          <w:color w:val="000000"/>
        </w:rPr>
        <w:t>采购人按照根据实际情况选择向确定的成交供应商发出成交通知，同时将询价结果通知未成交的供应商。</w:t>
      </w: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合同授予</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2"/>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其他</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监督部门：本询价项目的监督部门为北京铁路信号有限公司纪检监察部，电话：010-51214183，邮箱：</w:t>
      </w:r>
      <w:r>
        <w:rPr>
          <w:rFonts w:hint="eastAsia" w:ascii="宋体" w:hAnsi="宋体" w:eastAsia="宋体" w:cs="宋体"/>
        </w:rPr>
        <w:fldChar w:fldCharType="begin"/>
      </w:r>
      <w:r>
        <w:rPr>
          <w:rFonts w:hint="eastAsia" w:ascii="宋体" w:hAnsi="宋体" w:eastAsia="宋体" w:cs="宋体"/>
        </w:rPr>
        <w:instrText xml:space="preserve"> HYPERLINK "mailto:BXJJJC@crsc.cn" </w:instrText>
      </w:r>
      <w:r>
        <w:rPr>
          <w:rFonts w:hint="eastAsia" w:ascii="宋体" w:hAnsi="宋体" w:eastAsia="宋体" w:cs="宋体"/>
        </w:rPr>
        <w:fldChar w:fldCharType="separate"/>
      </w:r>
      <w:r>
        <w:rPr>
          <w:rFonts w:hint="eastAsia" w:ascii="宋体" w:hAnsi="宋体" w:eastAsia="宋体" w:cs="宋体"/>
          <w:color w:val="0000FF"/>
          <w:u w:val="single"/>
        </w:rPr>
        <w:t>BXJJJC@crsc.cn</w:t>
      </w:r>
      <w:r>
        <w:rPr>
          <w:rFonts w:hint="eastAsia" w:ascii="宋体" w:hAnsi="宋体" w:eastAsia="宋体" w:cs="宋体"/>
          <w:color w:val="0000FF"/>
          <w:u w:val="single"/>
        </w:rPr>
        <w:fldChar w:fldCharType="end"/>
      </w:r>
      <w:r>
        <w:rPr>
          <w:rFonts w:hint="eastAsia" w:ascii="宋体" w:hAnsi="宋体" w:eastAsia="宋体" w:cs="宋体"/>
          <w:color w:val="000000"/>
        </w:rPr>
        <w:t>。</w:t>
      </w:r>
    </w:p>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pPr>
    <w:r>
      <w:rPr>
        <w:rFonts w:hint="eastAsia"/>
      </w:rPr>
      <w:t>北京铁路信号有限公司</w:t>
    </w:r>
    <w:r>
      <w:rPr>
        <w:rFonts w:hint="eastAsia" w:hAnsi="Times New Roman"/>
        <w:lang w:val="zh-CN" w:eastAsia="zh-CN"/>
      </w:rPr>
      <w:t>2024年度防静电工作服采购项目</w:t>
    </w:r>
    <w:r>
      <w:rPr>
        <w:rFonts w:hint="eastAsia"/>
      </w:rPr>
      <w:t>询价须知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172A27"/>
    <w:rsid w:val="00146C6F"/>
    <w:rsid w:val="0015616A"/>
    <w:rsid w:val="001D1776"/>
    <w:rsid w:val="002A6933"/>
    <w:rsid w:val="00814D0F"/>
    <w:rsid w:val="00845181"/>
    <w:rsid w:val="00B97B72"/>
    <w:rsid w:val="0953462D"/>
    <w:rsid w:val="0C2E08FD"/>
    <w:rsid w:val="134B4158"/>
    <w:rsid w:val="1D28626C"/>
    <w:rsid w:val="21882352"/>
    <w:rsid w:val="2D690697"/>
    <w:rsid w:val="344D4115"/>
    <w:rsid w:val="37116682"/>
    <w:rsid w:val="40E564AE"/>
    <w:rsid w:val="44B5047F"/>
    <w:rsid w:val="44E70309"/>
    <w:rsid w:val="50671DC5"/>
    <w:rsid w:val="63246D95"/>
    <w:rsid w:val="634E321F"/>
    <w:rsid w:val="7B6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autoRedefine/>
    <w:qFormat/>
    <w:uiPriority w:val="99"/>
    <w:rPr>
      <w:sz w:val="18"/>
      <w:szCs w:val="18"/>
    </w:rPr>
  </w:style>
  <w:style w:type="character" w:customStyle="1" w:styleId="11">
    <w:name w:val="标题 2 字符"/>
    <w:basedOn w:val="8"/>
    <w:link w:val="2"/>
    <w:autoRedefine/>
    <w:qFormat/>
    <w:uiPriority w:val="0"/>
    <w:rPr>
      <w:rFonts w:ascii="Arial" w:hAnsi="Arial" w:eastAsia="黑体" w:cs="Times New Roman"/>
      <w:b/>
      <w:kern w:val="0"/>
      <w:sz w:val="30"/>
      <w:szCs w:val="20"/>
    </w:rPr>
  </w:style>
  <w:style w:type="paragraph" w:styleId="12">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3">
    <w:name w:val="Body text|1"/>
    <w:unhideWhenUsed/>
    <w:qFormat/>
    <w:uiPriority w:val="0"/>
    <w:pPr>
      <w:widowControl w:val="0"/>
      <w:spacing w:beforeLines="0" w:afterLines="0" w:line="257" w:lineRule="auto"/>
      <w:jc w:val="both"/>
    </w:pPr>
    <w:rPr>
      <w:rFonts w:hint="eastAsia" w:ascii="宋体" w:hAnsi="宋体" w:eastAsia="宋体" w:cs="宋体"/>
      <w:kern w:val="2"/>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5369</Words>
  <Characters>6006</Characters>
  <Lines>1</Lines>
  <Paragraphs>1</Paragraphs>
  <TotalTime>4</TotalTime>
  <ScaleCrop>false</ScaleCrop>
  <LinksUpToDate>false</LinksUpToDate>
  <CharactersWithSpaces>6118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曹杰</cp:lastModifiedBy>
  <cp:lastPrinted>2024-03-01T05:17:00Z</cp:lastPrinted>
  <dcterms:modified xsi:type="dcterms:W3CDTF">2024-04-02T02:53:41Z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8169177A97B646F88F8D8EA9610B183E_12</vt:lpwstr>
  </property>
</Properties>
</file>