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p>
    <w:p>
      <w:pPr>
        <w:spacing w:line="360" w:lineRule="auto"/>
        <w:jc w:val="center"/>
        <w:rPr>
          <w:rFonts w:ascii="宋体" w:hAnsi="宋体"/>
          <w:b/>
          <w:color w:val="000000"/>
          <w:sz w:val="32"/>
        </w:rPr>
      </w:pPr>
      <w:r>
        <w:rPr>
          <w:rFonts w:hint="eastAsia" w:ascii="宋体" w:hAnsi="宋体"/>
          <w:b/>
          <w:color w:val="000000"/>
          <w:sz w:val="32"/>
        </w:rPr>
        <w:t>询价须知</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5"/>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447"/>
        <w:gridCol w:w="4636"/>
        <w:gridCol w:w="1093"/>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1" w:name="_GoBack"/>
            <w:r>
              <w:rPr>
                <w:rFonts w:hint="eastAsia" w:ascii="宋体" w:hAnsi="宋体" w:eastAsia="宋体" w:cs="宋体"/>
                <w:b/>
                <w:bCs/>
                <w:i w:val="0"/>
                <w:iCs w:val="0"/>
                <w:color w:val="000000"/>
                <w:kern w:val="0"/>
                <w:sz w:val="20"/>
                <w:szCs w:val="20"/>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物料编码</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物料描述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2000441657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线束\EX-BX-STP1-4\0.3M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2000441783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线束\EX-BX-STP1-2\0.3M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2000441592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线束\EX-BX-STP1-3\0.3M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2000441591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线束\EX-BX-STP1-1\0.3M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2000003809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扁平电缆\WGTS06141.04B.00\北信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2000003761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扁平电缆\WGTS06136.04.00\北信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2000065212</w:t>
            </w:r>
          </w:p>
        </w:tc>
        <w:tc>
          <w:tcPr>
            <w:tcW w:w="46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鼠标长线\30m\30m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2000065162</w:t>
            </w:r>
          </w:p>
        </w:tc>
        <w:tc>
          <w:tcPr>
            <w:tcW w:w="46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语音长线\30m\30m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2000339922</w:t>
            </w:r>
          </w:p>
        </w:tc>
        <w:tc>
          <w:tcPr>
            <w:tcW w:w="46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鼠标延长线\232\2.2m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2000065168</w:t>
            </w:r>
          </w:p>
        </w:tc>
        <w:tc>
          <w:tcPr>
            <w:tcW w:w="46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视频长线\30m\30m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2000399797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塞孔线缆\78996665-01(8Pto8P)\65MM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2000399796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塞孔线缆\78996665-02(8Pto8P)\50MM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2000399809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塞孔线缆\78996665-04(6Pto8P)\50MM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2000399795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塞孔线缆\78996665-03(6Pto8P)\65MM</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r>
      <w:bookmarkEnd w:id="1"/>
    </w:tbl>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技术要求、质量及售后服务要求</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1.引用和参考的相关标准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GB/T 4909.2-2009 裸电线试验方法第2部分尺寸测量；</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2951.11-2008 电缆和光缆绝缘和护套材料通用试验方法第11部分：通用试验方法厚度和外形尺寸测量机械性能试验；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 5013.1-2008 额定电压450/750V及以下橡皮绝缘电缆第1部分：一般要求；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JB/T 8734.1-2012 额定电压450/750V及以下聚氯乙烯绝缘电缆电线和软线 第1部分：一般规定；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JB/T 8734.3-2012 额定电压450/750V及以下聚氯乙烯绝缘电缆电线和软线 第3部分：连接用软电线和软电缆；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3956-1997 电缆的导体；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GB/T8815-2008 电线电缆用软聚氯乙烯塑料；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GJB 773A-2000 航空航天用含氟聚合物绝缘电线电缆通用规范；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GJB 773A-11A-2000 航空航天用镀锡铜芯聚全氟乙丙烯绝缘电线电缆详细规范；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3048.4-2007 电线电缆电性能试验方法第4部分：导体直流电阻试验要求；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3048.5-2007 电线电缆电性能试验方法-绝缘电阻试验；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3048.8-2007 电线电缆电性能试验方法第8部分：交流电压试验；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GB/T 12666.1-2008 单根电线电缆燃烧试验方法第1部分：垂直燃烧试验； </w:t>
      </w:r>
    </w:p>
    <w:p>
      <w:pPr>
        <w:widowControl w:val="0"/>
        <w:numPr>
          <w:ilvl w:val="0"/>
          <w:numId w:val="2"/>
        </w:numPr>
        <w:autoSpaceDE w:val="0"/>
        <w:autoSpaceDN w:val="0"/>
        <w:adjustRightInd w:val="0"/>
        <w:spacing w:line="360" w:lineRule="auto"/>
        <w:ind w:left="420" w:hanging="420"/>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GB/T 18380.34-2008 电缆和光缆在火焰条件下的燃烧试验第34部分：垂直安装的成束电线电缆火焰垂直蔓延试验B类 。</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2.一般要求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（1）电线及电缆线外皮颜色光亮、均匀、无油污、无破损、无伤痕和裂纹。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 xml:space="preserve">（2）电线及电缆线表面印字：型号、规格、电压、制造商。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（3）合格证上内容：制造商名称（拼音或汉字）、型号及规格、额定电压、长度、制造日期。</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3.结构尺寸及电性能要求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符合相应规格线缆标准或技术协议要求。 </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4.环境试验要求</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（1）可焊性试验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技术要求：电线的焊端经过试验后，焊端表面全部被焊料覆盖，无氧化。 </w:t>
      </w:r>
    </w:p>
    <w:p>
      <w:pPr>
        <w:widowControl w:val="0"/>
        <w:autoSpaceDE w:val="0"/>
        <w:autoSpaceDN w:val="0"/>
        <w:adjustRightInd w:val="0"/>
        <w:spacing w:after="156" w:afterLines="50"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（2）其他试验要求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每年必须提供一次线缆试验报告，可以是同系列的一种，注明所参照的试验标准。</w:t>
      </w:r>
    </w:p>
    <w:p>
      <w:pPr>
        <w:widowControl w:val="0"/>
        <w:autoSpaceDE w:val="0"/>
        <w:autoSpaceDN w:val="0"/>
        <w:adjustRightInd w:val="0"/>
        <w:spacing w:after="156" w:afterLines="50"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 xml:space="preserve">5.包装要求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 xml:space="preserve">（1）电线原则上200米一盘，遇到特殊的等阻线可以500米一盘；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（2）电缆线成轴交缆，电缆线轴尺寸示意图如图、表所示： .</w:t>
      </w:r>
    </w:p>
    <w:p>
      <w:pPr>
        <w:ind w:firstLine="640" w:firstLineChars="400"/>
        <w:jc w:val="center"/>
        <w:rPr>
          <w:rFonts w:hint="eastAsia" w:ascii="宋体" w:hAnsi="宋体" w:eastAsia="宋体" w:cs="宋体"/>
          <w:sz w:val="16"/>
          <w:szCs w:val="20"/>
          <w:highlight w:val="none"/>
        </w:rPr>
      </w:pPr>
      <w:r>
        <w:rPr>
          <w:rFonts w:hint="eastAsia" w:ascii="宋体" w:hAnsi="宋体" w:eastAsia="宋体" w:cs="宋体"/>
          <w:sz w:val="16"/>
          <w:szCs w:val="20"/>
          <w:highlight w:val="none"/>
        </w:rPr>
        <w:drawing>
          <wp:inline distT="0" distB="0" distL="0" distR="0">
            <wp:extent cx="2050415" cy="1870075"/>
            <wp:effectExtent l="0" t="0" r="6985" b="1587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5" cstate="print"/>
                    <a:stretch>
                      <a:fillRect/>
                    </a:stretch>
                  </pic:blipFill>
                  <pic:spPr>
                    <a:xfrm>
                      <a:off x="0" y="0"/>
                      <a:ext cx="2050415" cy="1870075"/>
                    </a:xfrm>
                    <a:prstGeom prst="rect">
                      <a:avLst/>
                    </a:prstGeom>
                  </pic:spPr>
                </pic:pic>
              </a:graphicData>
            </a:graphic>
          </wp:inline>
        </w:drawing>
      </w:r>
    </w:p>
    <w:p>
      <w:pPr>
        <w:spacing w:line="360" w:lineRule="auto"/>
        <w:ind w:firstLine="840" w:firstLineChars="40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图1 电缆线图示意图</w:t>
      </w:r>
    </w:p>
    <w:p>
      <w:pPr>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表1 电缆线轴技术指标要求</w:t>
      </w:r>
    </w:p>
    <w:tbl>
      <w:tblPr>
        <w:tblStyle w:val="5"/>
        <w:tblpPr w:leftFromText="180" w:rightFromText="180" w:vertAnchor="text" w:horzAnchor="page" w:tblpX="2093" w:tblpY="1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8"/>
        <w:gridCol w:w="3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Pr>
          <w:p>
            <w:pPr>
              <w:widowControl w:val="0"/>
              <w:spacing w:before="22"/>
              <w:ind w:left="1017" w:right="1009"/>
              <w:jc w:val="center"/>
              <w:rPr>
                <w:rFonts w:hint="eastAsia" w:ascii="宋体" w:hAnsi="宋体" w:eastAsia="宋体" w:cs="宋体"/>
                <w:b/>
                <w:bCs/>
                <w:kern w:val="2"/>
                <w:sz w:val="18"/>
                <w:szCs w:val="20"/>
                <w:highlight w:val="none"/>
                <w:lang w:val="zh-CN" w:eastAsia="zh-CN" w:bidi="zh-CN"/>
              </w:rPr>
            </w:pPr>
            <w:r>
              <w:rPr>
                <w:rFonts w:hint="eastAsia" w:ascii="宋体" w:hAnsi="宋体" w:eastAsia="宋体" w:cs="宋体"/>
                <w:b/>
                <w:bCs/>
                <w:kern w:val="2"/>
                <w:sz w:val="18"/>
                <w:szCs w:val="20"/>
                <w:highlight w:val="none"/>
                <w:lang w:val="zh-CN" w:eastAsia="zh-CN" w:bidi="zh-CN"/>
              </w:rPr>
              <w:t>规格要求</w:t>
            </w:r>
          </w:p>
        </w:tc>
        <w:tc>
          <w:tcPr>
            <w:tcW w:w="3704" w:type="dxa"/>
          </w:tcPr>
          <w:p>
            <w:pPr>
              <w:widowControl w:val="0"/>
              <w:spacing w:before="22"/>
              <w:ind w:left="1414" w:right="1400"/>
              <w:jc w:val="center"/>
              <w:rPr>
                <w:rFonts w:hint="eastAsia" w:ascii="宋体" w:hAnsi="宋体" w:eastAsia="宋体" w:cs="宋体"/>
                <w:b/>
                <w:bCs/>
                <w:kern w:val="2"/>
                <w:sz w:val="18"/>
                <w:szCs w:val="20"/>
                <w:highlight w:val="none"/>
                <w:lang w:val="zh-CN" w:eastAsia="zh-CN" w:bidi="zh-CN"/>
              </w:rPr>
            </w:pPr>
            <w:r>
              <w:rPr>
                <w:rFonts w:hint="eastAsia" w:ascii="宋体" w:hAnsi="宋体" w:eastAsia="宋体" w:cs="宋体"/>
                <w:b/>
                <w:bCs/>
                <w:kern w:val="2"/>
                <w:sz w:val="18"/>
                <w:szCs w:val="20"/>
                <w:highlight w:val="none"/>
                <w:lang w:val="zh-CN" w:eastAsia="zh-CN" w:bidi="zh-CN"/>
              </w:rPr>
              <w:t>对应尺寸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3968" w:type="dxa"/>
          </w:tcPr>
          <w:p>
            <w:pPr>
              <w:widowControl w:val="0"/>
              <w:spacing w:before="22"/>
              <w:ind w:left="1018" w:right="1007"/>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最大线轴直径</w:t>
            </w:r>
          </w:p>
        </w:tc>
        <w:tc>
          <w:tcPr>
            <w:tcW w:w="3704" w:type="dxa"/>
          </w:tcPr>
          <w:p>
            <w:pPr>
              <w:widowControl w:val="0"/>
              <w:spacing w:before="22"/>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trPr>
        <w:tc>
          <w:tcPr>
            <w:tcW w:w="3968" w:type="dxa"/>
          </w:tcPr>
          <w:p>
            <w:pPr>
              <w:widowControl w:val="0"/>
              <w:spacing w:before="25"/>
              <w:ind w:left="1018" w:right="1007"/>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最大线轴宽度</w:t>
            </w:r>
          </w:p>
        </w:tc>
        <w:tc>
          <w:tcPr>
            <w:tcW w:w="3704" w:type="dxa"/>
          </w:tcPr>
          <w:p>
            <w:pPr>
              <w:widowControl w:val="0"/>
              <w:spacing w:before="25"/>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Pr>
          <w:p>
            <w:pPr>
              <w:widowControl w:val="0"/>
              <w:spacing w:before="78"/>
              <w:ind w:left="1018" w:right="1009"/>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最大线轴孔直径范围</w:t>
            </w:r>
          </w:p>
        </w:tc>
        <w:tc>
          <w:tcPr>
            <w:tcW w:w="3704" w:type="dxa"/>
          </w:tcPr>
          <w:p>
            <w:pPr>
              <w:widowControl w:val="0"/>
              <w:spacing w:before="78"/>
              <w:ind w:left="1414"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65～90mm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trPr>
        <w:tc>
          <w:tcPr>
            <w:tcW w:w="3968" w:type="dxa"/>
          </w:tcPr>
          <w:p>
            <w:pPr>
              <w:widowControl w:val="0"/>
              <w:spacing w:before="78"/>
              <w:ind w:left="722" w:right="0"/>
              <w:jc w:val="left"/>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最大线轴重量（包含电缆）</w:t>
            </w:r>
          </w:p>
        </w:tc>
        <w:tc>
          <w:tcPr>
            <w:tcW w:w="3704" w:type="dxa"/>
          </w:tcPr>
          <w:p>
            <w:pPr>
              <w:widowControl w:val="0"/>
              <w:spacing w:before="78"/>
              <w:ind w:left="1411" w:right="1400"/>
              <w:jc w:val="center"/>
              <w:rPr>
                <w:rFonts w:hint="eastAsia" w:ascii="宋体" w:hAnsi="宋体" w:eastAsia="宋体" w:cs="宋体"/>
                <w:kern w:val="2"/>
                <w:sz w:val="18"/>
                <w:szCs w:val="20"/>
                <w:highlight w:val="none"/>
                <w:lang w:val="zh-CN" w:eastAsia="zh-CN" w:bidi="zh-CN"/>
              </w:rPr>
            </w:pPr>
            <w:r>
              <w:rPr>
                <w:rFonts w:hint="eastAsia" w:ascii="宋体" w:hAnsi="宋体" w:eastAsia="宋体" w:cs="宋体"/>
                <w:kern w:val="2"/>
                <w:sz w:val="18"/>
                <w:szCs w:val="20"/>
                <w:highlight w:val="none"/>
                <w:lang w:val="zh-CN" w:eastAsia="zh-CN" w:bidi="zh-CN"/>
              </w:rPr>
              <w:t>350kg</w:t>
            </w:r>
          </w:p>
        </w:tc>
      </w:tr>
    </w:tbl>
    <w:p>
      <w:pPr>
        <w:spacing w:before="55"/>
        <w:jc w:val="left"/>
        <w:rPr>
          <w:rFonts w:hint="eastAsia" w:ascii="宋体" w:hAnsi="宋体" w:eastAsia="宋体" w:cs="宋体"/>
          <w:b/>
          <w:sz w:val="22"/>
          <w:szCs w:val="20"/>
          <w:highlight w:val="none"/>
        </w:rPr>
      </w:pPr>
      <w:r>
        <w:rPr>
          <w:rFonts w:hint="eastAsia" w:ascii="宋体" w:hAnsi="宋体" w:eastAsia="宋体" w:cs="宋体"/>
          <w:b/>
          <w:sz w:val="24"/>
          <w:szCs w:val="20"/>
          <w:highlight w:val="none"/>
          <w:lang w:val="en-US" w:eastAsia="zh-CN"/>
        </w:rPr>
        <w:t>三、</w:t>
      </w:r>
      <w:r>
        <w:rPr>
          <w:rFonts w:hint="eastAsia" w:ascii="宋体" w:hAnsi="宋体" w:eastAsia="宋体" w:cs="宋体"/>
          <w:b/>
          <w:sz w:val="22"/>
          <w:szCs w:val="20"/>
          <w:highlight w:val="none"/>
        </w:rPr>
        <w:t>质量</w:t>
      </w:r>
      <w:r>
        <w:rPr>
          <w:rFonts w:hint="eastAsia" w:ascii="宋体" w:hAnsi="宋体" w:eastAsia="宋体" w:cs="宋体"/>
          <w:b/>
          <w:sz w:val="22"/>
          <w:szCs w:val="20"/>
          <w:highlight w:val="none"/>
          <w:lang w:val="en-US" w:eastAsia="zh-CN"/>
        </w:rPr>
        <w:t>服务</w:t>
      </w:r>
      <w:r>
        <w:rPr>
          <w:rFonts w:hint="eastAsia" w:ascii="宋体" w:hAnsi="宋体" w:eastAsia="宋体" w:cs="宋体"/>
          <w:b/>
          <w:sz w:val="22"/>
          <w:szCs w:val="20"/>
          <w:highlight w:val="none"/>
        </w:rPr>
        <w:t>要求</w:t>
      </w:r>
      <w:r>
        <w:rPr>
          <w:rFonts w:hint="eastAsia" w:ascii="宋体" w:hAnsi="宋体" w:eastAsia="宋体" w:cs="宋体"/>
          <w:b/>
          <w:w w:val="99"/>
          <w:sz w:val="22"/>
          <w:szCs w:val="20"/>
          <w:highlight w:val="none"/>
        </w:rPr>
        <w:t xml:space="preserve"> </w:t>
      </w:r>
    </w:p>
    <w:p>
      <w:pPr>
        <w:widowControl w:val="0"/>
        <w:autoSpaceDE w:val="0"/>
        <w:autoSpaceDN w:val="0"/>
        <w:adjustRightInd w:val="0"/>
        <w:spacing w:line="360" w:lineRule="auto"/>
        <w:rPr>
          <w:rFonts w:hint="eastAsia" w:ascii="宋体" w:hAnsi="宋体" w:eastAsia="宋体" w:cs="宋体"/>
          <w:b/>
          <w:color w:val="000000"/>
          <w:sz w:val="21"/>
          <w:szCs w:val="21"/>
          <w:highlight w:val="none"/>
          <w:lang w:val="en-US" w:eastAsia="zh-CN" w:bidi="ar-SA"/>
        </w:rPr>
      </w:pPr>
      <w:r>
        <w:rPr>
          <w:rFonts w:hint="eastAsia" w:ascii="宋体" w:hAnsi="宋体" w:eastAsia="宋体" w:cs="宋体"/>
          <w:b/>
          <w:color w:val="000000"/>
          <w:sz w:val="21"/>
          <w:szCs w:val="21"/>
          <w:highlight w:val="none"/>
          <w:lang w:val="en-US" w:eastAsia="zh-CN" w:bidi="ar-SA"/>
        </w:rPr>
        <w:t>1.质量要求</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（1）线缆来料检验合格率100%。</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 xml:space="preserve">（2）线缆使用寿命15年，质保期为验收合格后10年。 </w:t>
      </w:r>
    </w:p>
    <w:p>
      <w:pPr>
        <w:widowControl w:val="0"/>
        <w:autoSpaceDE w:val="0"/>
        <w:autoSpaceDN w:val="0"/>
        <w:adjustRightInd w:val="0"/>
        <w:spacing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color w:val="000000"/>
          <w:sz w:val="24"/>
          <w:szCs w:val="24"/>
          <w:highlight w:val="none"/>
          <w:lang w:val="en-US" w:eastAsia="zh-CN" w:bidi="ar-SA"/>
        </w:rPr>
        <w:t>**</w:t>
      </w:r>
      <w:r>
        <w:rPr>
          <w:rFonts w:hint="eastAsia" w:ascii="宋体" w:hAnsi="宋体" w:eastAsia="宋体" w:cs="宋体"/>
          <w:color w:val="000000"/>
          <w:sz w:val="21"/>
          <w:szCs w:val="21"/>
          <w:highlight w:val="none"/>
          <w:lang w:val="en-US" w:eastAsia="zh-CN" w:bidi="ar-SA"/>
        </w:rPr>
        <w:t>（3）供货批次要求：供应商需提供据当前供应时间15个月内批次的物料。</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4）所有货物必须是在中国范围内合法销售、原装、全新、并完全符合用户要求的产品，符合国家、行业及该产品的出厂标准，中标人需随货物装箱提供制造厂的货物检验、测试报告、货物检验合格证书、质量保证书和保修书等证明文件。如发生所供货物与合同不符，采购人（或使用方）有权拒收或退货，由此产生的一切责任和后果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（5）货物外观清洁，标记编号以及盘面显示等字体清晰，明确。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（6）货物及所有配套件必须完整和可靠。对该货物的正常运行和维护必不可少的部件、配件等，中标人有责任给予补充。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2.材料要求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（1）货物使用的材料应附有出厂合格证明、试验报告，具有法律效力的检测部门出具的检验报告等资料。严格按先试后用原则，并应提供至少一份副本给采购人。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3.其他要求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（1）中标人确认在供货前已充分知晓采购人对货物的具体用途，保证货物使用时满足国家及采购人对货物安全、环保及职业健康等方面要求。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（2）中标人保证其具备相应货物的生产、销售、维护的许可或资质及能力。所有货物在交货前已完成相关部门必须的检验、商检等，采购人能够直接安全合法使用。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4.包装、装运及运输</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（1）中标人负责包装、装运和运输，由于不适当的包装、装运和运输造成货物有任何损坏均由中标人负责。中标人应在货物外包装的显 眼位置注明货物基本信息及注意事项或标识。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（2）包装费、运费及相关费用已包含在合同总金额内。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5.质量期与服务要求</w:t>
      </w:r>
      <w:r>
        <w:rPr>
          <w:rFonts w:hint="eastAsia" w:ascii="宋体" w:hAnsi="宋体" w:eastAsia="宋体" w:cs="宋体"/>
          <w:color w:val="000000"/>
          <w:kern w:val="0"/>
          <w:sz w:val="21"/>
          <w:szCs w:val="21"/>
          <w:highlight w:val="none"/>
          <w:lang w:val="en-US" w:eastAsia="zh-CN" w:bidi="ar-SA"/>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1）在质量保证期内，因货物出现质量问题不符合合同约定的，中标人应立即无偿修理、更换、赔款或委托采购人安排修理，中标人未按采购人要求及时解决质量问题的，招标人有权另请第三方解决。因解决货物质量问题产生的所有费用均由中标人承担。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（2）质保金为中标金额的5%，验收合格，且收到全额增值税专用发票入账后一年，且中标人全面履行合同义务后支付。若中标人存在违约责任，招标人有权从中扣除。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3）因货物出现质量问题给采购人造成费用或按合同约定中标人需承担违约责任的，采购人有权在质量保证金内优先扣除。质量保证期满且双方经结算无争议的，中标人应及时要求采购人出具质量保证期满证书。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4）中标人确保具有相应的售后服务能力，包括拥有相应的设备和人员。在质量保证期内，涉及维修的货物，中标人应可随时上门进行维修及检测。因货物质量问题或中标人售后服务不到位导致货物无法正常使用给采购人造成的损失由中标人赔偿，且质量保证期相应顺延。 </w:t>
      </w:r>
    </w:p>
    <w:p>
      <w:pPr>
        <w:keepNext w:val="0"/>
        <w:keepLines w:val="0"/>
        <w:widowControl/>
        <w:suppressLineNumbers w:val="0"/>
        <w:spacing w:line="360" w:lineRule="auto"/>
        <w:jc w:val="left"/>
        <w:rPr>
          <w:rFonts w:hint="eastAsia" w:ascii="宋体" w:hAnsi="宋体" w:eastAsia="宋体" w:cs="宋体"/>
          <w:b/>
          <w:color w:val="auto"/>
          <w:kern w:val="2"/>
          <w:sz w:val="22"/>
          <w:szCs w:val="20"/>
          <w:highlight w:val="none"/>
          <w:lang w:val="en-US" w:eastAsia="zh-CN" w:bidi="ar-SA"/>
        </w:rPr>
      </w:pPr>
      <w:r>
        <w:rPr>
          <w:rFonts w:hint="eastAsia" w:ascii="宋体" w:hAnsi="宋体" w:eastAsia="宋体" w:cs="宋体"/>
          <w:color w:val="000000"/>
          <w:kern w:val="0"/>
          <w:sz w:val="21"/>
          <w:szCs w:val="21"/>
          <w:highlight w:val="none"/>
          <w:lang w:val="en-US" w:eastAsia="zh-CN" w:bidi="ar-SA"/>
        </w:rPr>
        <w:t>（5）货物为非原材料的，中标人承诺提供设 7X24 小时免费技术支持；永久性免费提供电话技术指导和咨询服务；提供长期上门维修服务；免费对产品软件进行升级；定期进行设备免费检修。</w:t>
      </w:r>
      <w:r>
        <w:rPr>
          <w:rFonts w:hint="eastAsia" w:ascii="宋体" w:hAnsi="宋体" w:eastAsia="宋体" w:cs="宋体"/>
          <w:color w:val="000000"/>
          <w:kern w:val="0"/>
          <w:sz w:val="22"/>
          <w:szCs w:val="22"/>
          <w:highlight w:val="none"/>
          <w:lang w:val="en-US" w:eastAsia="zh-CN" w:bidi="ar"/>
        </w:rPr>
        <w:t xml:space="preserve"> </w:t>
      </w:r>
    </w:p>
    <w:p>
      <w:pPr>
        <w:spacing w:line="360" w:lineRule="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rPr>
        <w:t>注：</w:t>
      </w:r>
      <w:r>
        <w:rPr>
          <w:rFonts w:hint="eastAsia" w:ascii="宋体" w:hAnsi="宋体" w:eastAsia="宋体" w:cs="宋体"/>
          <w:b/>
          <w:bCs w:val="0"/>
          <w:sz w:val="21"/>
          <w:szCs w:val="21"/>
          <w:highlight w:val="none"/>
          <w:lang w:val="en-US" w:eastAsia="zh-CN"/>
        </w:rPr>
        <w:t>本章技术及质量服务要求中</w:t>
      </w:r>
      <w:r>
        <w:rPr>
          <w:rFonts w:hint="eastAsia" w:ascii="宋体" w:hAnsi="宋体" w:eastAsia="宋体" w:cs="宋体"/>
          <w:b/>
          <w:bCs w:val="0"/>
          <w:color w:val="auto"/>
          <w:sz w:val="21"/>
          <w:szCs w:val="21"/>
          <w:highlight w:val="none"/>
        </w:rPr>
        <w:t>*为偏离项，**为必须满足项</w:t>
      </w:r>
      <w:r>
        <w:rPr>
          <w:rFonts w:hint="eastAsia" w:ascii="宋体" w:hAnsi="宋体" w:eastAsia="宋体" w:cs="宋体"/>
          <w:b/>
          <w:bCs w:val="0"/>
          <w:color w:val="auto"/>
          <w:sz w:val="21"/>
          <w:szCs w:val="21"/>
          <w:highlight w:val="none"/>
          <w:lang w:eastAsia="zh-CN"/>
        </w:rPr>
        <w:t>。</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报价要求</w:t>
      </w:r>
    </w:p>
    <w:p>
      <w:pPr>
        <w:widowControl/>
        <w:spacing w:line="360" w:lineRule="auto"/>
        <w:ind w:firstLine="420" w:firstLineChars="200"/>
        <w:jc w:val="left"/>
        <w:rPr>
          <w:rFonts w:ascii="宋体" w:hAnsi="宋体"/>
          <w:b/>
        </w:rPr>
      </w:pPr>
      <w:r>
        <w:rPr>
          <w:rFonts w:hint="eastAsia" w:ascii="宋体" w:hAnsi="宋体"/>
          <w:b/>
          <w:color w:val="000000"/>
        </w:rPr>
        <w:t>（1）</w:t>
      </w:r>
      <w:r>
        <w:rPr>
          <w:rFonts w:hint="eastAsia" w:ascii="宋体" w:hAnsi="宋体"/>
          <w:b/>
        </w:rPr>
        <w:t>供应商需对本项目全部物料进行报价。</w:t>
      </w:r>
    </w:p>
    <w:p>
      <w:pPr>
        <w:widowControl/>
        <w:spacing w:line="360" w:lineRule="auto"/>
        <w:ind w:firstLine="420" w:firstLineChars="200"/>
        <w:jc w:val="left"/>
        <w:rPr>
          <w:rFonts w:ascii="等线" w:hAnsi="等线"/>
          <w:szCs w:val="21"/>
        </w:rPr>
      </w:pPr>
      <w:r>
        <w:rPr>
          <w:rFonts w:hint="eastAsia" w:ascii="等线" w:hAnsi="等线"/>
          <w:szCs w:val="21"/>
        </w:rPr>
        <w:t>（</w:t>
      </w:r>
      <w:r>
        <w:rPr>
          <w:rFonts w:ascii="Times New Roman" w:hAnsi="Times New Roman"/>
          <w:bCs/>
          <w:kern w:val="0"/>
          <w:szCs w:val="21"/>
          <w:lang w:val="zh-CN"/>
        </w:rPr>
        <w:t>2</w:t>
      </w:r>
      <w:r>
        <w:rPr>
          <w:rFonts w:hint="eastAsia" w:ascii="等线" w:hAnsi="等线"/>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等线" w:hAnsi="等线"/>
          <w:szCs w:val="21"/>
        </w:rPr>
      </w:pPr>
      <w:bookmarkStart w:id="0" w:name="_Hlk117013315"/>
      <w:r>
        <w:rPr>
          <w:rFonts w:hint="eastAsia" w:ascii="等线" w:hAnsi="等线"/>
          <w:szCs w:val="21"/>
        </w:rPr>
        <w:t>（</w:t>
      </w:r>
      <w:r>
        <w:rPr>
          <w:rFonts w:ascii="Times New Roman" w:hAnsi="Times New Roman"/>
          <w:bCs/>
          <w:kern w:val="0"/>
          <w:szCs w:val="21"/>
          <w:lang w:val="zh-CN"/>
        </w:rPr>
        <w:t>3</w:t>
      </w:r>
      <w:r>
        <w:rPr>
          <w:rFonts w:hint="eastAsia" w:ascii="等线" w:hAnsi="等线"/>
          <w:szCs w:val="21"/>
        </w:rPr>
        <w:t>）</w:t>
      </w:r>
      <w:bookmarkEnd w:id="0"/>
      <w:r>
        <w:rPr>
          <w:rFonts w:hint="eastAsia" w:ascii="等线" w:hAnsi="等线"/>
          <w:szCs w:val="21"/>
        </w:rPr>
        <w:t>供应商报价应包含采购标的、运费、税金及履行本项目所必需的其他全部费用；</w:t>
      </w:r>
    </w:p>
    <w:p>
      <w:pPr>
        <w:widowControl/>
        <w:spacing w:line="360" w:lineRule="auto"/>
        <w:ind w:firstLine="420" w:firstLineChars="200"/>
        <w:jc w:val="left"/>
        <w:rPr>
          <w:rFonts w:ascii="宋体" w:hAnsi="宋体"/>
          <w:b/>
          <w:bCs/>
          <w:color w:val="000000"/>
        </w:rPr>
      </w:pPr>
      <w:r>
        <w:rPr>
          <w:rFonts w:hint="eastAsia" w:ascii="等线" w:hAnsi="等线"/>
          <w:szCs w:val="21"/>
        </w:rPr>
        <w:t>（</w:t>
      </w:r>
      <w:r>
        <w:rPr>
          <w:rFonts w:ascii="等线" w:hAnsi="等线"/>
          <w:szCs w:val="21"/>
        </w:rPr>
        <w:t>4</w:t>
      </w:r>
      <w:r>
        <w:rPr>
          <w:rFonts w:hint="eastAsia" w:ascii="等线" w:hAnsi="等线"/>
          <w:szCs w:val="21"/>
        </w:rPr>
        <w:t>）</w:t>
      </w:r>
      <w:r>
        <w:rPr>
          <w:rFonts w:hint="eastAsia" w:ascii="宋体" w:hAnsi="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ascii="等线" w:hAnsi="等线"/>
          <w:szCs w:val="21"/>
        </w:rPr>
      </w:pPr>
      <w:r>
        <w:rPr>
          <w:rFonts w:hint="eastAsia" w:ascii="等线" w:hAnsi="等线"/>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ascii="等线" w:hAnsi="等线"/>
          <w:szCs w:val="21"/>
        </w:rPr>
      </w:pPr>
      <w:r>
        <w:rPr>
          <w:rFonts w:hint="eastAsia" w:ascii="等线" w:hAnsi="等线"/>
          <w:szCs w:val="21"/>
        </w:rPr>
        <w:t>（</w:t>
      </w:r>
      <w:r>
        <w:rPr>
          <w:rFonts w:ascii="等线" w:hAnsi="等线"/>
          <w:szCs w:val="21"/>
        </w:rPr>
        <w:t>6</w:t>
      </w:r>
      <w:r>
        <w:rPr>
          <w:rFonts w:hint="eastAsia" w:ascii="等线" w:hAnsi="等线"/>
          <w:szCs w:val="21"/>
        </w:rPr>
        <w:t>）</w:t>
      </w:r>
      <w:r>
        <w:rPr>
          <w:rFonts w:hint="eastAsia" w:ascii="宋体" w:hAnsi="宋体"/>
          <w:szCs w:val="21"/>
        </w:rPr>
        <w:t>当供应商最终报价超出采购人可以接受的价格时，</w:t>
      </w:r>
      <w:r>
        <w:rPr>
          <w:rFonts w:hint="eastAsia" w:ascii="等线" w:hAnsi="等线"/>
          <w:szCs w:val="21"/>
        </w:rPr>
        <w:t>谈判将终止。</w:t>
      </w:r>
    </w:p>
    <w:p>
      <w:pPr>
        <w:widowControl/>
        <w:spacing w:line="360" w:lineRule="auto"/>
        <w:ind w:firstLine="420" w:firstLineChars="200"/>
        <w:jc w:val="left"/>
        <w:rPr>
          <w:rFonts w:ascii="宋体" w:hAnsi="宋体"/>
          <w:b/>
          <w:bCs/>
          <w:color w:val="000000"/>
        </w:rPr>
      </w:pPr>
      <w:r>
        <w:rPr>
          <w:rFonts w:hint="eastAsia" w:ascii="宋体" w:hAnsi="宋体"/>
          <w:b/>
          <w:bCs/>
          <w:color w:val="000000"/>
        </w:rPr>
        <w:t>（</w:t>
      </w:r>
      <w:r>
        <w:rPr>
          <w:rFonts w:ascii="宋体" w:hAnsi="宋体"/>
          <w:b/>
          <w:bCs/>
          <w:color w:val="000000"/>
        </w:rPr>
        <w:t>7</w:t>
      </w:r>
      <w:r>
        <w:rPr>
          <w:rFonts w:hint="eastAsia" w:ascii="宋体" w:hAnsi="宋体"/>
          <w:b/>
          <w:bCs/>
          <w:color w:val="000000"/>
        </w:rPr>
        <w:t>）供应商按采购内容数量报价，实际采购数量以采购人签订采购合同/采购订单数量为准。</w:t>
      </w:r>
    </w:p>
    <w:p>
      <w:pPr>
        <w:pStyle w:val="10"/>
        <w:widowControl/>
        <w:numPr>
          <w:ilvl w:val="0"/>
          <w:numId w:val="1"/>
        </w:numPr>
        <w:spacing w:line="360" w:lineRule="auto"/>
        <w:ind w:firstLineChars="0"/>
        <w:jc w:val="left"/>
        <w:rPr>
          <w:rFonts w:ascii="宋体" w:hAnsi="宋体"/>
          <w:szCs w:val="21"/>
        </w:rPr>
      </w:pPr>
      <w:r>
        <w:rPr>
          <w:rFonts w:hint="eastAsia"/>
          <w:b/>
          <w:szCs w:val="21"/>
        </w:rPr>
        <w:t>评审小组</w:t>
      </w:r>
    </w:p>
    <w:p>
      <w:pPr>
        <w:pStyle w:val="10"/>
        <w:widowControl/>
        <w:spacing w:line="360" w:lineRule="auto"/>
        <w:ind w:firstLine="564" w:firstLineChars="269"/>
        <w:jc w:val="left"/>
        <w:rPr>
          <w:rFonts w:ascii="等线" w:hAnsi="等线" w:eastAsiaTheme="minorEastAsia" w:cstheme="minorBidi"/>
          <w:szCs w:val="21"/>
        </w:rPr>
      </w:pPr>
      <w:r>
        <w:rPr>
          <w:rFonts w:hint="eastAsia" w:ascii="等线" w:hAnsi="等线" w:eastAsiaTheme="minorEastAsia" w:cstheme="minorBidi"/>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72"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最低价法</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2.1.1</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ascii="宋体" w:hAnsi="宋体" w:eastAsia="宋体" w:cs="宋体"/>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2.1.2</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依法设立的证明材料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资质要求证明材料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供应商应提供相关资质证书副本的复印件，以证明供应商具有承担本项目要求的资质，</w:t>
            </w:r>
            <w:r>
              <w:rPr>
                <w:rFonts w:hint="eastAsia" w:ascii="宋体" w:hAnsi="宋体" w:eastAsia="宋体" w:cs="宋体"/>
                <w:szCs w:val="21"/>
              </w:rPr>
              <w:t>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财务要求证明材料</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□不适用</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业绩要求证明材料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合同</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中标通知书/成交通知书</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竣工验收报告/验收证明</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业主证明</w:t>
            </w:r>
          </w:p>
          <w:p>
            <w:pPr>
              <w:autoSpaceDE w:val="0"/>
              <w:autoSpaceDN w:val="0"/>
              <w:spacing w:line="276" w:lineRule="auto"/>
              <w:ind w:firstLine="210" w:firstLineChars="100"/>
              <w:jc w:val="left"/>
              <w:rPr>
                <w:rFonts w:hint="eastAsia" w:ascii="宋体" w:hAnsi="宋体" w:eastAsia="宋体" w:cs="宋体"/>
                <w:color w:val="221E1F"/>
                <w:szCs w:val="21"/>
                <w:u w:val="single"/>
              </w:rPr>
            </w:pPr>
            <w:r>
              <w:rPr>
                <w:rFonts w:hint="eastAsia" w:ascii="宋体" w:hAnsi="宋体" w:eastAsia="宋体" w:cs="宋体"/>
                <w:color w:val="221E1F"/>
                <w:szCs w:val="21"/>
              </w:rPr>
              <w:t>□其他材料：</w:t>
            </w:r>
            <w:r>
              <w:rPr>
                <w:rFonts w:hint="eastAsia" w:ascii="宋体" w:hAnsi="宋体" w:eastAsia="宋体" w:cs="宋体"/>
                <w:color w:val="221E1F"/>
                <w:szCs w:val="21"/>
                <w:u w:val="single"/>
              </w:rPr>
              <w:t xml:space="preserve">          </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业绩证明材料种类要求：</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提供上述勾选的任一项证明材料即可</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□需同时提供上述勾选的所有证明材料</w:t>
            </w:r>
          </w:p>
          <w:p>
            <w:pPr>
              <w:widowControl/>
              <w:spacing w:line="276" w:lineRule="auto"/>
              <w:ind w:firstLine="210" w:firstLineChars="100"/>
              <w:jc w:val="left"/>
              <w:rPr>
                <w:rFonts w:hint="eastAsia" w:ascii="宋体" w:hAnsi="宋体" w:eastAsia="宋体" w:cs="宋体"/>
                <w:kern w:val="0"/>
                <w:szCs w:val="21"/>
              </w:rPr>
            </w:pPr>
            <w:r>
              <w:rPr>
                <w:rFonts w:hint="eastAsia" w:ascii="宋体" w:hAnsi="宋体" w:eastAsia="宋体" w:cs="宋体"/>
                <w:color w:val="221E1F"/>
                <w:szCs w:val="21"/>
              </w:rPr>
              <w:t>□其他要求：</w:t>
            </w:r>
            <w:r>
              <w:rPr>
                <w:rFonts w:hint="eastAsia" w:ascii="宋体" w:hAnsi="宋体" w:eastAsia="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信誉要求证明材料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2.1.3</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（2）供应商报价应包含采购标的、运费、税金及履行本项目所必需的其他全部费用。</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hint="eastAsia" w:ascii="宋体" w:hAnsi="宋体" w:eastAsia="宋体" w:cs="宋体"/>
                <w:szCs w:val="21"/>
              </w:rPr>
            </w:pPr>
            <w:r>
              <w:rPr>
                <w:rFonts w:hint="eastAsia" w:ascii="宋体" w:hAnsi="宋体" w:eastAsia="宋体" w:cs="宋体"/>
                <w:szCs w:val="21"/>
              </w:rPr>
              <w:t>允许偏差的范围：</w:t>
            </w:r>
            <w:r>
              <w:rPr>
                <w:rFonts w:hint="eastAsia" w:ascii="宋体" w:hAnsi="宋体" w:eastAsia="宋体" w:cs="宋体"/>
                <w:color w:val="221E1F"/>
                <w:szCs w:val="21"/>
                <w:u w:val="single"/>
              </w:rPr>
              <w:t xml:space="preserve">   /   </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允许偏差的项数：</w:t>
            </w:r>
            <w:r>
              <w:rPr>
                <w:rFonts w:hint="eastAsia" w:ascii="宋体" w:hAnsi="宋体" w:eastAsia="宋体" w:cs="宋体"/>
                <w:color w:val="221E1F"/>
                <w:szCs w:val="21"/>
                <w:u w:val="single"/>
              </w:rPr>
              <w:t xml:space="preserve">  / </w:t>
            </w:r>
            <w:r>
              <w:rPr>
                <w:rFonts w:hint="eastAsia" w:ascii="宋体" w:hAnsi="宋体" w:eastAsia="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hint="eastAsia" w:ascii="宋体" w:hAnsi="宋体" w:eastAsia="宋体" w:cs="宋体"/>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3.2.2</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由评审小组抽签决定</w:t>
            </w:r>
          </w:p>
        </w:tc>
      </w:tr>
    </w:tbl>
    <w:p>
      <w:pPr>
        <w:widowControl/>
        <w:spacing w:line="360" w:lineRule="auto"/>
        <w:jc w:val="left"/>
        <w:rPr>
          <w:rFonts w:ascii="宋体" w:hAnsi="宋体"/>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询价文件的澄清</w:t>
      </w:r>
    </w:p>
    <w:p>
      <w:pPr>
        <w:spacing w:line="360" w:lineRule="auto"/>
        <w:ind w:firstLine="210" w:firstLineChars="100"/>
        <w:rPr>
          <w:rFonts w:asciiTheme="minorEastAsia" w:hAnsiTheme="minorEastAsia"/>
          <w:szCs w:val="21"/>
        </w:rPr>
      </w:pPr>
      <w:r>
        <w:rPr>
          <w:rFonts w:hint="eastAsia" w:asciiTheme="minorEastAsia" w:hAnsiTheme="minorEastAsia"/>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asciiTheme="minorEastAsia" w:hAnsiTheme="minorEastAsia"/>
          <w:szCs w:val="21"/>
        </w:rPr>
      </w:pPr>
      <w:r>
        <w:rPr>
          <w:rFonts w:hint="eastAsia" w:ascii="宋体" w:hAnsi="宋体"/>
          <w:b/>
          <w:color w:val="000000"/>
        </w:rPr>
        <w:t>响应文件的澄清</w:t>
      </w:r>
    </w:p>
    <w:p>
      <w:pPr>
        <w:widowControl/>
        <w:spacing w:line="360" w:lineRule="auto"/>
        <w:ind w:firstLine="420" w:firstLineChars="200"/>
        <w:jc w:val="left"/>
        <w:rPr>
          <w:rFonts w:ascii="宋体" w:hAnsi="宋体"/>
          <w:color w:val="000000"/>
        </w:rPr>
      </w:pPr>
      <w:r>
        <w:rPr>
          <w:rFonts w:hint="eastAsia" w:ascii="宋体" w:hAnsi="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ascii="宋体" w:hAnsi="宋体"/>
          <w:color w:val="000000"/>
        </w:rPr>
      </w:pPr>
      <w:r>
        <w:rPr>
          <w:rFonts w:hint="eastAsia" w:ascii="宋体" w:hAnsi="宋体"/>
          <w:color w:val="000000"/>
        </w:rPr>
        <w:t>（1）为采购人不具有独立法人资格的附属机构（单位）；</w:t>
      </w:r>
    </w:p>
    <w:p>
      <w:pPr>
        <w:widowControl/>
        <w:spacing w:line="360" w:lineRule="auto"/>
        <w:jc w:val="left"/>
        <w:rPr>
          <w:rFonts w:ascii="宋体" w:hAnsi="宋体"/>
          <w:color w:val="000000"/>
        </w:rPr>
      </w:pPr>
      <w:r>
        <w:rPr>
          <w:rFonts w:hint="eastAsia" w:ascii="宋体" w:hAnsi="宋体"/>
          <w:color w:val="000000"/>
        </w:rPr>
        <w:t>（2）与本包件的其他供应商为同一个单位负责人；</w:t>
      </w:r>
    </w:p>
    <w:p>
      <w:pPr>
        <w:widowControl/>
        <w:spacing w:line="360" w:lineRule="auto"/>
        <w:jc w:val="left"/>
        <w:rPr>
          <w:rFonts w:ascii="宋体" w:hAnsi="宋体"/>
          <w:color w:val="000000"/>
        </w:rPr>
      </w:pPr>
      <w:r>
        <w:rPr>
          <w:rFonts w:hint="eastAsia" w:ascii="宋体" w:hAnsi="宋体"/>
          <w:color w:val="000000"/>
        </w:rPr>
        <w:t>（3）与本包件的其他供应商存在控股、管理关系；</w:t>
      </w:r>
    </w:p>
    <w:p>
      <w:pPr>
        <w:widowControl/>
        <w:spacing w:line="360" w:lineRule="auto"/>
        <w:jc w:val="left"/>
        <w:rPr>
          <w:rFonts w:ascii="宋体" w:hAnsi="宋体"/>
          <w:color w:val="000000"/>
        </w:rPr>
      </w:pPr>
      <w:r>
        <w:rPr>
          <w:rFonts w:hint="eastAsia" w:ascii="宋体" w:hAnsi="宋体"/>
          <w:color w:val="000000"/>
        </w:rPr>
        <w:t>（4）为本包件的代理机构；</w:t>
      </w:r>
    </w:p>
    <w:p>
      <w:pPr>
        <w:widowControl/>
        <w:spacing w:line="360" w:lineRule="auto"/>
        <w:jc w:val="left"/>
        <w:rPr>
          <w:rFonts w:ascii="宋体" w:hAnsi="宋体"/>
          <w:color w:val="000000"/>
        </w:rPr>
      </w:pPr>
      <w:r>
        <w:rPr>
          <w:rFonts w:hint="eastAsia" w:ascii="宋体" w:hAnsi="宋体"/>
          <w:color w:val="000000"/>
        </w:rPr>
        <w:t>（5）与本包件的代理机构同为一个法定代表人；</w:t>
      </w:r>
    </w:p>
    <w:p>
      <w:pPr>
        <w:widowControl/>
        <w:spacing w:line="360" w:lineRule="auto"/>
        <w:jc w:val="left"/>
        <w:rPr>
          <w:rFonts w:ascii="宋体" w:hAnsi="宋体"/>
          <w:color w:val="000000"/>
        </w:rPr>
      </w:pPr>
      <w:r>
        <w:rPr>
          <w:rFonts w:hint="eastAsia" w:ascii="宋体" w:hAnsi="宋体"/>
          <w:color w:val="000000"/>
        </w:rPr>
        <w:t>（6）与本包件的代理机构存在控股或参股关系；</w:t>
      </w:r>
    </w:p>
    <w:p>
      <w:pPr>
        <w:widowControl/>
        <w:spacing w:line="360" w:lineRule="auto"/>
        <w:jc w:val="left"/>
        <w:rPr>
          <w:rFonts w:ascii="宋体" w:hAnsi="宋体"/>
          <w:color w:val="000000"/>
        </w:rPr>
      </w:pPr>
      <w:r>
        <w:rPr>
          <w:rFonts w:hint="eastAsia" w:ascii="宋体" w:hAnsi="宋体"/>
          <w:color w:val="000000"/>
        </w:rPr>
        <w:t>（7）被依法暂停或取消投标资格；</w:t>
      </w:r>
    </w:p>
    <w:p>
      <w:pPr>
        <w:widowControl/>
        <w:spacing w:line="360" w:lineRule="auto"/>
        <w:jc w:val="left"/>
        <w:rPr>
          <w:rFonts w:ascii="宋体" w:hAnsi="宋体"/>
          <w:color w:val="000000"/>
        </w:rPr>
      </w:pPr>
      <w:r>
        <w:rPr>
          <w:rFonts w:hint="eastAsia" w:ascii="宋体" w:hAnsi="宋体"/>
          <w:color w:val="000000"/>
        </w:rPr>
        <w:t>（8）被责令停产停业、暂扣或者吊销许可证、暂扣或者吊销执照；</w:t>
      </w:r>
    </w:p>
    <w:p>
      <w:pPr>
        <w:widowControl/>
        <w:spacing w:line="360" w:lineRule="auto"/>
        <w:jc w:val="left"/>
        <w:rPr>
          <w:rFonts w:ascii="宋体" w:hAnsi="宋体"/>
          <w:color w:val="000000"/>
        </w:rPr>
      </w:pPr>
      <w:r>
        <w:rPr>
          <w:rFonts w:hint="eastAsia" w:ascii="宋体" w:hAnsi="宋体"/>
          <w:color w:val="000000"/>
        </w:rPr>
        <w:t>（9）进入清算程序，或被宣告破产，或其他丧失履约能力的情形；</w:t>
      </w:r>
    </w:p>
    <w:p>
      <w:pPr>
        <w:widowControl/>
        <w:spacing w:line="360" w:lineRule="auto"/>
        <w:jc w:val="left"/>
        <w:rPr>
          <w:rFonts w:ascii="宋体" w:hAnsi="宋体"/>
          <w:color w:val="000000"/>
        </w:rPr>
      </w:pPr>
      <w:r>
        <w:rPr>
          <w:rFonts w:hint="eastAsia" w:ascii="宋体" w:hAnsi="宋体"/>
          <w:color w:val="000000"/>
        </w:rPr>
        <w:t>（10）在最近三年内发生重大产品质量问题（以相关行业主管部门的行政处罚决定或司法 机关出具的有关法律文书为准）；</w:t>
      </w:r>
    </w:p>
    <w:p>
      <w:pPr>
        <w:widowControl/>
        <w:spacing w:line="360" w:lineRule="auto"/>
        <w:jc w:val="left"/>
        <w:rPr>
          <w:rFonts w:ascii="宋体" w:hAnsi="宋体"/>
          <w:color w:val="000000"/>
        </w:rPr>
      </w:pPr>
      <w:r>
        <w:rPr>
          <w:rFonts w:hint="eastAsia" w:ascii="宋体" w:hAnsi="宋体"/>
          <w:color w:val="000000"/>
        </w:rPr>
        <w:t>（11）被工商行政管理机关在全国企业信用信息公示系统中列入严重违法失信企业名单；</w:t>
      </w:r>
    </w:p>
    <w:p>
      <w:pPr>
        <w:widowControl/>
        <w:spacing w:line="360" w:lineRule="auto"/>
        <w:jc w:val="left"/>
        <w:rPr>
          <w:rFonts w:ascii="宋体" w:hAnsi="宋体"/>
          <w:color w:val="000000"/>
        </w:rPr>
      </w:pPr>
      <w:r>
        <w:rPr>
          <w:rFonts w:hint="eastAsia" w:ascii="宋体" w:hAnsi="宋体"/>
          <w:color w:val="000000"/>
        </w:rPr>
        <w:t>（12）被最高人民法院在“信用中国”网站（www.creditchina.gov.cn）或各级信用信息共享平台中列入失信被执行人名单；</w:t>
      </w:r>
    </w:p>
    <w:p>
      <w:pPr>
        <w:widowControl/>
        <w:spacing w:line="360" w:lineRule="auto"/>
        <w:jc w:val="left"/>
        <w:rPr>
          <w:rFonts w:ascii="宋体" w:hAnsi="宋体"/>
          <w:color w:val="000000"/>
        </w:rPr>
      </w:pPr>
      <w:r>
        <w:rPr>
          <w:rFonts w:hint="eastAsia" w:ascii="宋体" w:hAnsi="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ascii="宋体" w:hAnsi="宋体"/>
          <w:color w:val="000000"/>
        </w:rPr>
      </w:pPr>
      <w:r>
        <w:rPr>
          <w:rFonts w:hint="eastAsia" w:ascii="宋体" w:hAnsi="宋体"/>
          <w:color w:val="000000"/>
        </w:rPr>
        <w:t>（14）法律法规或供应商须知前附表规定的其他情形</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合同授予</w:t>
      </w:r>
    </w:p>
    <w:p>
      <w:pPr>
        <w:widowControl/>
        <w:spacing w:line="360" w:lineRule="auto"/>
        <w:ind w:firstLine="420" w:firstLineChars="200"/>
        <w:jc w:val="left"/>
        <w:rPr>
          <w:rFonts w:ascii="宋体" w:hAnsi="宋体"/>
          <w:color w:val="000000"/>
        </w:rPr>
      </w:pPr>
      <w:r>
        <w:rPr>
          <w:rFonts w:hint="eastAsia" w:ascii="宋体" w:hAnsi="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其他</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监督部门：本询价项目的监督部门为北京铁路信号有限公司纪检监察部，电话：010-51214183，邮箱：</w:t>
      </w:r>
      <w:r>
        <w:fldChar w:fldCharType="begin"/>
      </w:r>
      <w:r>
        <w:instrText xml:space="preserve"> HYPERLINK "mailto:BXJJJC@crsc.cn" </w:instrText>
      </w:r>
      <w:r>
        <w:fldChar w:fldCharType="separate"/>
      </w:r>
      <w:r>
        <w:rPr>
          <w:rFonts w:hint="eastAsia" w:ascii="宋体" w:hAnsi="宋体" w:eastAsia="宋体" w:cs="Times New Roman"/>
          <w:color w:val="0000FF"/>
          <w:u w:val="single"/>
        </w:rPr>
        <w:t>BXJJJC@crsc.cn</w:t>
      </w:r>
      <w:r>
        <w:rPr>
          <w:rFonts w:hint="eastAsia" w:ascii="宋体" w:hAnsi="宋体" w:eastAsia="宋体" w:cs="Times New Roman"/>
          <w:color w:val="0000FF"/>
          <w:u w:val="single"/>
        </w:rPr>
        <w:fldChar w:fldCharType="end"/>
      </w:r>
      <w:r>
        <w:rPr>
          <w:rFonts w:hint="eastAsia" w:ascii="宋体" w:hAnsi="宋体" w:eastAsia="宋体" w:cs="Times New Roman"/>
          <w:color w:val="000000"/>
        </w:rPr>
        <w:t>。</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C6AB9"/>
    <w:multiLevelType w:val="multilevel"/>
    <w:tmpl w:val="29EC6A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2A6933"/>
    <w:rsid w:val="001D1776"/>
    <w:rsid w:val="002A6933"/>
    <w:rsid w:val="00814D0F"/>
    <w:rsid w:val="00845181"/>
    <w:rsid w:val="06384468"/>
    <w:rsid w:val="126B1285"/>
    <w:rsid w:val="16081CC0"/>
    <w:rsid w:val="2D135B21"/>
    <w:rsid w:val="3E24114A"/>
    <w:rsid w:val="46CC7063"/>
    <w:rsid w:val="5204706B"/>
    <w:rsid w:val="5895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1</TotalTime>
  <ScaleCrop>false</ScaleCrop>
  <LinksUpToDate>false</LinksUpToDate>
  <CharactersWithSpaces>3837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曹杰</cp:lastModifiedBy>
  <dcterms:modified xsi:type="dcterms:W3CDTF">2024-03-26T03:14:44Z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45D15EF350E84E0F838A8BCBE622724D_12</vt:lpwstr>
  </property>
</Properties>
</file>