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E1D97">
      <w:pPr>
        <w:jc w:val="center"/>
        <w:rPr>
          <w:rFonts w:hint="eastAsia"/>
          <w:b/>
          <w:color w:val="auto"/>
          <w:sz w:val="32"/>
          <w:szCs w:val="32"/>
          <w:lang w:val="en-US" w:eastAsia="zh-CN"/>
        </w:rPr>
      </w:pPr>
      <w:r>
        <w:rPr>
          <w:rFonts w:hint="eastAsia"/>
          <w:b/>
          <w:color w:val="auto"/>
          <w:sz w:val="32"/>
          <w:szCs w:val="32"/>
          <w:lang w:val="en-US" w:eastAsia="zh-CN"/>
        </w:rPr>
        <w:t>技术规格书</w:t>
      </w:r>
    </w:p>
    <w:p w14:paraId="40AFA6A0">
      <w:pPr>
        <w:spacing w:line="480" w:lineRule="auto"/>
        <w:jc w:val="center"/>
        <w:outlineLvl w:val="1"/>
        <w:rPr>
          <w:rFonts w:hint="eastAsia" w:eastAsia="黑体"/>
          <w:b/>
          <w:color w:val="auto"/>
          <w:sz w:val="52"/>
          <w:szCs w:val="52"/>
          <w:lang w:val="en-US" w:eastAsia="zh-CN"/>
        </w:rPr>
      </w:pPr>
      <w:bookmarkStart w:id="607" w:name="_GoBack"/>
      <w:bookmarkEnd w:id="607"/>
      <w:r>
        <w:rPr>
          <w:rFonts w:hint="eastAsia" w:eastAsia="黑体"/>
          <w:b/>
          <w:color w:val="auto"/>
          <w:sz w:val="52"/>
          <w:szCs w:val="52"/>
          <w:lang w:val="en-US" w:eastAsia="zh-CN"/>
        </w:rPr>
        <w:t>综合防雷</w:t>
      </w:r>
    </w:p>
    <w:p w14:paraId="79DC112D">
      <w:pPr>
        <w:spacing w:line="480" w:lineRule="auto"/>
        <w:ind w:firstLine="420" w:firstLineChars="200"/>
        <w:outlineLvl w:val="1"/>
        <w:rPr>
          <w:rFonts w:eastAsia="黑体"/>
          <w:color w:val="auto"/>
          <w:sz w:val="21"/>
          <w:szCs w:val="21"/>
        </w:rPr>
      </w:pPr>
      <w:r>
        <w:rPr>
          <w:rFonts w:hint="eastAsia" w:eastAsia="黑体"/>
          <w:color w:val="auto"/>
          <w:sz w:val="21"/>
          <w:szCs w:val="21"/>
        </w:rPr>
        <w:t>一</w:t>
      </w:r>
      <w:r>
        <w:rPr>
          <w:rFonts w:eastAsia="黑体"/>
          <w:color w:val="auto"/>
          <w:sz w:val="21"/>
          <w:szCs w:val="21"/>
        </w:rPr>
        <w:t>、</w:t>
      </w:r>
      <w:r>
        <w:rPr>
          <w:rFonts w:hint="eastAsia" w:eastAsia="黑体"/>
          <w:color w:val="auto"/>
          <w:sz w:val="21"/>
          <w:szCs w:val="21"/>
        </w:rPr>
        <w:t>工程概况</w:t>
      </w:r>
    </w:p>
    <w:p w14:paraId="0A8BDEAA">
      <w:pPr>
        <w:ind w:firstLine="422" w:firstLineChars="200"/>
        <w:outlineLvl w:val="2"/>
        <w:rPr>
          <w:b/>
          <w:color w:val="auto"/>
          <w:sz w:val="21"/>
          <w:szCs w:val="21"/>
        </w:rPr>
      </w:pPr>
      <w:r>
        <w:rPr>
          <w:rFonts w:hint="eastAsia"/>
          <w:b/>
          <w:color w:val="auto"/>
          <w:sz w:val="21"/>
          <w:szCs w:val="21"/>
        </w:rPr>
        <w:t>（一）</w:t>
      </w:r>
      <w:r>
        <w:rPr>
          <w:b/>
          <w:color w:val="auto"/>
          <w:sz w:val="21"/>
          <w:szCs w:val="21"/>
        </w:rPr>
        <w:t>工程范围</w:t>
      </w:r>
    </w:p>
    <w:p w14:paraId="32E9E837">
      <w:pPr>
        <w:ind w:firstLine="420" w:firstLineChars="200"/>
        <w:rPr>
          <w:color w:val="auto"/>
          <w:sz w:val="21"/>
          <w:szCs w:val="21"/>
        </w:rPr>
      </w:pPr>
      <w:r>
        <w:rPr>
          <w:color w:val="auto"/>
          <w:sz w:val="21"/>
          <w:szCs w:val="21"/>
        </w:rPr>
        <w:t>本</w:t>
      </w:r>
      <w:r>
        <w:rPr>
          <w:rFonts w:hint="eastAsia"/>
          <w:color w:val="auto"/>
          <w:sz w:val="21"/>
          <w:szCs w:val="21"/>
        </w:rPr>
        <w:t>供货要求</w:t>
      </w:r>
      <w:r>
        <w:rPr>
          <w:color w:val="auto"/>
          <w:sz w:val="21"/>
          <w:szCs w:val="21"/>
        </w:rPr>
        <w:t>招标</w:t>
      </w:r>
      <w:r>
        <w:rPr>
          <w:rFonts w:hint="eastAsia"/>
          <w:color w:val="auto"/>
          <w:sz w:val="21"/>
          <w:szCs w:val="21"/>
        </w:rPr>
        <w:t>范围</w:t>
      </w:r>
      <w:r>
        <w:rPr>
          <w:color w:val="auto"/>
          <w:sz w:val="21"/>
          <w:szCs w:val="21"/>
        </w:rPr>
        <w:t>为三峡枢纽茅坪港疏港铁路工程。工程范围：宜昌南站（含）至茅坪港站（含）段（DK0+000至DK39+608.509），线路全长39.592km。新建十里坪站、茅坪港站，改造宜昌南站。</w:t>
      </w:r>
    </w:p>
    <w:p w14:paraId="527E5242">
      <w:pPr>
        <w:ind w:firstLine="422" w:firstLineChars="200"/>
        <w:outlineLvl w:val="2"/>
        <w:rPr>
          <w:b/>
          <w:color w:val="auto"/>
          <w:sz w:val="21"/>
          <w:szCs w:val="21"/>
        </w:rPr>
      </w:pPr>
      <w:r>
        <w:rPr>
          <w:rFonts w:hint="eastAsia"/>
          <w:b/>
          <w:color w:val="auto"/>
          <w:sz w:val="21"/>
          <w:szCs w:val="21"/>
        </w:rPr>
        <w:t>（二）本项目主要技术标准</w:t>
      </w:r>
    </w:p>
    <w:p w14:paraId="5326845E">
      <w:pPr>
        <w:ind w:firstLine="420" w:firstLineChars="200"/>
        <w:rPr>
          <w:color w:val="auto"/>
          <w:sz w:val="21"/>
          <w:szCs w:val="21"/>
        </w:rPr>
      </w:pPr>
      <w:r>
        <w:rPr>
          <w:color w:val="auto"/>
          <w:sz w:val="21"/>
          <w:szCs w:val="21"/>
        </w:rPr>
        <w:t>铁路等级：国铁Ⅲ级</w:t>
      </w:r>
    </w:p>
    <w:p w14:paraId="07B0F48D">
      <w:pPr>
        <w:ind w:firstLine="420" w:firstLineChars="200"/>
        <w:rPr>
          <w:color w:val="auto"/>
          <w:sz w:val="21"/>
          <w:szCs w:val="21"/>
        </w:rPr>
      </w:pPr>
      <w:r>
        <w:rPr>
          <w:color w:val="auto"/>
          <w:sz w:val="21"/>
          <w:szCs w:val="21"/>
        </w:rPr>
        <w:t>正线数目：单线</w:t>
      </w:r>
    </w:p>
    <w:p w14:paraId="2AA27601">
      <w:pPr>
        <w:ind w:firstLine="420" w:firstLineChars="200"/>
        <w:rPr>
          <w:color w:val="auto"/>
          <w:sz w:val="21"/>
          <w:szCs w:val="21"/>
        </w:rPr>
      </w:pPr>
      <w:r>
        <w:rPr>
          <w:color w:val="auto"/>
          <w:sz w:val="21"/>
          <w:szCs w:val="21"/>
        </w:rPr>
        <w:t>最小曲线半径：一般600</w:t>
      </w:r>
      <w:r>
        <w:rPr>
          <w:rFonts w:hint="eastAsia"/>
          <w:color w:val="auto"/>
          <w:sz w:val="21"/>
          <w:szCs w:val="21"/>
        </w:rPr>
        <w:t>m</w:t>
      </w:r>
      <w:r>
        <w:rPr>
          <w:color w:val="auto"/>
          <w:sz w:val="21"/>
          <w:szCs w:val="21"/>
        </w:rPr>
        <w:t>，困难</w:t>
      </w:r>
      <w:r>
        <w:rPr>
          <w:rFonts w:hint="eastAsia"/>
          <w:color w:val="auto"/>
          <w:sz w:val="21"/>
          <w:szCs w:val="21"/>
        </w:rPr>
        <w:t>5</w:t>
      </w:r>
      <w:r>
        <w:rPr>
          <w:color w:val="auto"/>
          <w:sz w:val="21"/>
          <w:szCs w:val="21"/>
        </w:rPr>
        <w:t>00</w:t>
      </w:r>
      <w:r>
        <w:rPr>
          <w:rFonts w:hint="eastAsia"/>
          <w:color w:val="auto"/>
          <w:sz w:val="21"/>
          <w:szCs w:val="21"/>
        </w:rPr>
        <w:t>m</w:t>
      </w:r>
    </w:p>
    <w:p w14:paraId="3595C15B">
      <w:pPr>
        <w:ind w:firstLine="420" w:firstLineChars="200"/>
        <w:rPr>
          <w:color w:val="auto"/>
          <w:sz w:val="21"/>
          <w:szCs w:val="21"/>
        </w:rPr>
      </w:pPr>
      <w:r>
        <w:rPr>
          <w:color w:val="auto"/>
          <w:sz w:val="21"/>
          <w:szCs w:val="21"/>
        </w:rPr>
        <w:t>限制坡度：13‰（双机）</w:t>
      </w:r>
    </w:p>
    <w:p w14:paraId="4D27945A">
      <w:pPr>
        <w:ind w:firstLine="420" w:firstLineChars="200"/>
        <w:rPr>
          <w:color w:val="auto"/>
          <w:sz w:val="21"/>
          <w:szCs w:val="21"/>
        </w:rPr>
      </w:pPr>
      <w:r>
        <w:rPr>
          <w:color w:val="auto"/>
          <w:sz w:val="21"/>
          <w:szCs w:val="21"/>
        </w:rPr>
        <w:t>牵引种类：电力</w:t>
      </w:r>
    </w:p>
    <w:p w14:paraId="027327CD">
      <w:pPr>
        <w:ind w:firstLine="420" w:firstLineChars="200"/>
        <w:rPr>
          <w:color w:val="auto"/>
          <w:sz w:val="21"/>
          <w:szCs w:val="21"/>
        </w:rPr>
      </w:pPr>
      <w:r>
        <w:rPr>
          <w:rFonts w:hint="eastAsia"/>
          <w:color w:val="auto"/>
          <w:sz w:val="21"/>
          <w:szCs w:val="21"/>
        </w:rPr>
        <w:t>牵引质量：</w:t>
      </w:r>
      <w:r>
        <w:rPr>
          <w:color w:val="auto"/>
          <w:sz w:val="21"/>
          <w:szCs w:val="21"/>
        </w:rPr>
        <w:t>4000</w:t>
      </w:r>
      <w:r>
        <w:rPr>
          <w:rFonts w:hint="eastAsia"/>
          <w:color w:val="auto"/>
          <w:sz w:val="21"/>
          <w:szCs w:val="21"/>
        </w:rPr>
        <w:t>t</w:t>
      </w:r>
    </w:p>
    <w:p w14:paraId="16CA948E">
      <w:pPr>
        <w:ind w:firstLine="420" w:firstLineChars="200"/>
        <w:rPr>
          <w:color w:val="auto"/>
          <w:sz w:val="21"/>
          <w:szCs w:val="21"/>
        </w:rPr>
      </w:pPr>
      <w:r>
        <w:rPr>
          <w:rFonts w:hint="eastAsia"/>
          <w:color w:val="auto"/>
          <w:sz w:val="21"/>
          <w:szCs w:val="21"/>
        </w:rPr>
        <w:t>机车类型：HXD3</w:t>
      </w:r>
    </w:p>
    <w:p w14:paraId="74B1BE16">
      <w:pPr>
        <w:ind w:firstLine="420" w:firstLineChars="200"/>
        <w:rPr>
          <w:color w:val="auto"/>
          <w:sz w:val="21"/>
          <w:szCs w:val="21"/>
        </w:rPr>
      </w:pPr>
      <w:r>
        <w:rPr>
          <w:color w:val="auto"/>
          <w:sz w:val="21"/>
          <w:szCs w:val="21"/>
        </w:rPr>
        <w:t>到发线有效长：880</w:t>
      </w:r>
      <w:r>
        <w:rPr>
          <w:rFonts w:hint="eastAsia"/>
          <w:color w:val="auto"/>
          <w:sz w:val="21"/>
          <w:szCs w:val="21"/>
        </w:rPr>
        <w:t>m</w:t>
      </w:r>
    </w:p>
    <w:p w14:paraId="61D6532B">
      <w:pPr>
        <w:ind w:firstLine="420" w:firstLineChars="200"/>
        <w:rPr>
          <w:color w:val="auto"/>
          <w:sz w:val="21"/>
          <w:szCs w:val="21"/>
        </w:rPr>
      </w:pPr>
      <w:r>
        <w:rPr>
          <w:color w:val="auto"/>
          <w:sz w:val="21"/>
          <w:szCs w:val="21"/>
        </w:rPr>
        <w:t>闭塞类型：</w:t>
      </w:r>
      <w:r>
        <w:rPr>
          <w:rFonts w:hint="eastAsia"/>
          <w:color w:val="auto"/>
          <w:sz w:val="21"/>
          <w:szCs w:val="21"/>
        </w:rPr>
        <w:t>自动站间</w:t>
      </w:r>
      <w:r>
        <w:rPr>
          <w:color w:val="auto"/>
          <w:sz w:val="21"/>
          <w:szCs w:val="21"/>
        </w:rPr>
        <w:t>闭塞</w:t>
      </w:r>
    </w:p>
    <w:p w14:paraId="76417827">
      <w:pPr>
        <w:ind w:firstLine="420" w:firstLineChars="200"/>
        <w:rPr>
          <w:color w:val="auto"/>
          <w:sz w:val="21"/>
          <w:szCs w:val="21"/>
        </w:rPr>
      </w:pPr>
      <w:r>
        <w:rPr>
          <w:rFonts w:hint="eastAsia"/>
          <w:color w:val="auto"/>
          <w:sz w:val="21"/>
          <w:szCs w:val="21"/>
        </w:rPr>
        <w:t>建筑限界：预留双层集装箱通道条件</w:t>
      </w:r>
    </w:p>
    <w:p w14:paraId="48AB60B6">
      <w:pPr>
        <w:ind w:firstLine="422" w:firstLineChars="200"/>
        <w:outlineLvl w:val="2"/>
        <w:rPr>
          <w:b/>
          <w:color w:val="auto"/>
          <w:sz w:val="21"/>
          <w:szCs w:val="21"/>
        </w:rPr>
      </w:pPr>
      <w:r>
        <w:rPr>
          <w:rFonts w:hint="eastAsia"/>
          <w:b/>
          <w:color w:val="auto"/>
          <w:sz w:val="21"/>
          <w:szCs w:val="21"/>
        </w:rPr>
        <w:t>（三）信号工程主要技术标准</w:t>
      </w:r>
    </w:p>
    <w:p w14:paraId="71A9F95C">
      <w:pPr>
        <w:ind w:firstLine="420" w:firstLineChars="200"/>
        <w:rPr>
          <w:color w:val="auto"/>
          <w:sz w:val="21"/>
          <w:szCs w:val="21"/>
        </w:rPr>
      </w:pPr>
      <w:r>
        <w:rPr>
          <w:rFonts w:hint="eastAsia"/>
          <w:color w:val="auto"/>
          <w:sz w:val="21"/>
          <w:szCs w:val="21"/>
        </w:rPr>
        <w:t>1．列车调度指挥及调度集中</w:t>
      </w:r>
    </w:p>
    <w:p w14:paraId="20D0370F">
      <w:pPr>
        <w:ind w:firstLine="420" w:firstLineChars="200"/>
        <w:rPr>
          <w:color w:val="auto"/>
          <w:sz w:val="21"/>
          <w:szCs w:val="21"/>
        </w:rPr>
      </w:pPr>
      <w:r>
        <w:rPr>
          <w:rFonts w:hint="eastAsia"/>
          <w:color w:val="auto"/>
          <w:sz w:val="21"/>
          <w:szCs w:val="21"/>
        </w:rPr>
        <w:t>根据</w:t>
      </w:r>
      <w:r>
        <w:rPr>
          <w:color w:val="auto"/>
          <w:sz w:val="21"/>
          <w:szCs w:val="21"/>
        </w:rPr>
        <w:t>宜昌三峡疏港铁路投资运营有限公司工作联系函《茅坪港铁路站后工程总体设计方案》（YCSXTL-2022-0601），</w:t>
      </w:r>
      <w:r>
        <w:rPr>
          <w:rFonts w:hint="eastAsia"/>
          <w:color w:val="auto"/>
          <w:sz w:val="21"/>
          <w:szCs w:val="21"/>
        </w:rPr>
        <w:t>十里坪站、茅坪港站不设调度指挥设备，运输调度指挥采用电话调度方式。</w:t>
      </w:r>
    </w:p>
    <w:p w14:paraId="6EDCFF02">
      <w:pPr>
        <w:ind w:firstLine="420" w:firstLineChars="200"/>
        <w:rPr>
          <w:color w:val="auto"/>
          <w:sz w:val="21"/>
          <w:szCs w:val="21"/>
        </w:rPr>
      </w:pPr>
      <w:r>
        <w:rPr>
          <w:rFonts w:hint="eastAsia"/>
          <w:color w:val="auto"/>
          <w:sz w:val="21"/>
          <w:szCs w:val="21"/>
        </w:rPr>
        <w:t>宜昌南站维持既有武汉局宜万行车调度台管辖不变。结合本线引入宜昌南站，在综合考虑设备使用年限等因素的基础上，宜昌南站既有CTC车站分机设备按现行标准进行升级改造，通道维持既有不变；武汉局调度所CTC总机系统在既有设备基础上进行适应性修改。</w:t>
      </w:r>
    </w:p>
    <w:p w14:paraId="2F2FD149">
      <w:pPr>
        <w:ind w:firstLine="420" w:firstLineChars="200"/>
        <w:rPr>
          <w:color w:val="auto"/>
          <w:sz w:val="21"/>
          <w:szCs w:val="21"/>
        </w:rPr>
      </w:pPr>
      <w:r>
        <w:rPr>
          <w:rFonts w:hint="eastAsia"/>
          <w:color w:val="auto"/>
          <w:sz w:val="21"/>
          <w:szCs w:val="21"/>
        </w:rPr>
        <w:t>2．列车运行控制</w:t>
      </w:r>
    </w:p>
    <w:p w14:paraId="587CA42D">
      <w:pPr>
        <w:ind w:firstLine="420" w:firstLineChars="200"/>
        <w:rPr>
          <w:color w:val="auto"/>
          <w:sz w:val="21"/>
          <w:szCs w:val="21"/>
        </w:rPr>
      </w:pPr>
      <w:r>
        <w:rPr>
          <w:rFonts w:hint="eastAsia"/>
          <w:color w:val="auto"/>
          <w:sz w:val="21"/>
          <w:szCs w:val="21"/>
        </w:rPr>
        <w:t>本线设计速度目标值为80 km/h，根据铁路相关技术政策、设计规范的要求，本线按CTCS-0级列车运行控制系统设计，采用主体化机车信号与列车运行监控记录装置（LKJ）相结合的方式。有关机车信号、LKJ车载相关设备的安装和相应的技术服务等费用纳入机车车辆购置费。</w:t>
      </w:r>
    </w:p>
    <w:p w14:paraId="40B33734">
      <w:pPr>
        <w:ind w:firstLine="420" w:firstLineChars="200"/>
        <w:rPr>
          <w:color w:val="auto"/>
          <w:sz w:val="21"/>
          <w:szCs w:val="21"/>
        </w:rPr>
      </w:pPr>
      <w:r>
        <w:rPr>
          <w:rFonts w:hint="eastAsia"/>
          <w:color w:val="auto"/>
          <w:sz w:val="21"/>
          <w:szCs w:val="21"/>
        </w:rPr>
        <w:t>宜万铁路（宜昌南站）列控系统维持既有CTCS-2级列控等级不变。结合本线引入宜昌南站，宜昌南站新增2条货运股道（非动车组进路股道），宜昌南站TCC、宜万铁路TSRS在既有设备基础上进行适应性修改，并配套调整应答器设置位置，位置不动的应答器原则上利旧，新增应答器设计标准与既有标准保持一致。</w:t>
      </w:r>
    </w:p>
    <w:p w14:paraId="36598C19">
      <w:pPr>
        <w:ind w:firstLine="420" w:firstLineChars="200"/>
        <w:rPr>
          <w:color w:val="auto"/>
          <w:sz w:val="21"/>
          <w:szCs w:val="21"/>
        </w:rPr>
      </w:pPr>
      <w:r>
        <w:rPr>
          <w:rFonts w:hint="eastAsia"/>
          <w:color w:val="auto"/>
          <w:sz w:val="21"/>
          <w:szCs w:val="21"/>
        </w:rPr>
        <w:t>本线为货运铁路，根据行车计划，动车组不会下线到本线运行，本次工程不设置C2/C0列控等级转换点。</w:t>
      </w:r>
    </w:p>
    <w:p w14:paraId="24607C7E">
      <w:pPr>
        <w:ind w:firstLine="420" w:firstLineChars="200"/>
        <w:rPr>
          <w:color w:val="auto"/>
          <w:sz w:val="21"/>
          <w:szCs w:val="21"/>
        </w:rPr>
      </w:pPr>
      <w:r>
        <w:rPr>
          <w:rFonts w:hint="eastAsia"/>
          <w:color w:val="auto"/>
          <w:sz w:val="21"/>
          <w:szCs w:val="21"/>
        </w:rPr>
        <w:t>3．</w:t>
      </w:r>
      <w:r>
        <w:rPr>
          <w:color w:val="auto"/>
          <w:sz w:val="21"/>
          <w:szCs w:val="21"/>
        </w:rPr>
        <w:t>区间闭塞</w:t>
      </w:r>
    </w:p>
    <w:p w14:paraId="2494A659">
      <w:pPr>
        <w:ind w:firstLine="420" w:firstLineChars="200"/>
        <w:rPr>
          <w:color w:val="auto"/>
          <w:sz w:val="21"/>
          <w:szCs w:val="21"/>
        </w:rPr>
      </w:pPr>
      <w:r>
        <w:rPr>
          <w:rFonts w:hint="eastAsia"/>
          <w:color w:val="auto"/>
          <w:sz w:val="21"/>
          <w:szCs w:val="21"/>
        </w:rPr>
        <w:t>本线为单线铁路，按自动站间闭塞设计。采用计轴设备实现区间占用/空闲检查，闭塞信息采用基于光纤的安全信息传输设备。站间计轴设备、闭塞信息传输通道均由通信专业提供（专用光传输通道：半自动闭塞采用2×2M，计轴采用2芯光纤）。</w:t>
      </w:r>
    </w:p>
    <w:p w14:paraId="75BE5D20">
      <w:pPr>
        <w:ind w:firstLine="420" w:firstLineChars="200"/>
        <w:rPr>
          <w:color w:val="auto"/>
          <w:sz w:val="21"/>
          <w:szCs w:val="21"/>
        </w:rPr>
      </w:pPr>
      <w:r>
        <w:rPr>
          <w:rFonts w:hint="eastAsia"/>
          <w:color w:val="auto"/>
          <w:sz w:val="21"/>
          <w:szCs w:val="21"/>
        </w:rPr>
        <w:t>宜万铁路宜昌南站管内区间闭塞维持既有ZPW-2000A四显示自动闭塞制式及继电编码方式不变。结合本线引入宜昌南站，宜昌南站X/XF进站信号机外移125m、S/SF进站信号机外移49m，根据行车检算，下行线通过信号机11255（K1125+465）向小里程方向移动150m，移动后里程为K112+315，其余通过信号机位置维持既有不动。新增的室外设备及控制电缆新设，位置不动的室外设备及控制电缆原则上利旧。新增设备设计标准与既有标准保持一致。</w:t>
      </w:r>
    </w:p>
    <w:p w14:paraId="230788B1">
      <w:pPr>
        <w:ind w:firstLine="420" w:firstLineChars="200"/>
        <w:rPr>
          <w:color w:val="auto"/>
          <w:sz w:val="21"/>
          <w:szCs w:val="21"/>
        </w:rPr>
      </w:pPr>
      <w:r>
        <w:rPr>
          <w:rFonts w:hint="eastAsia"/>
          <w:color w:val="auto"/>
          <w:sz w:val="21"/>
          <w:szCs w:val="21"/>
        </w:rPr>
        <w:t>4．联锁</w:t>
      </w:r>
    </w:p>
    <w:p w14:paraId="7313AFB6">
      <w:pPr>
        <w:ind w:firstLine="420" w:firstLineChars="200"/>
        <w:rPr>
          <w:color w:val="auto"/>
          <w:sz w:val="21"/>
          <w:szCs w:val="21"/>
        </w:rPr>
      </w:pPr>
      <w:r>
        <w:rPr>
          <w:rFonts w:hint="eastAsia"/>
          <w:color w:val="auto"/>
          <w:sz w:val="21"/>
          <w:szCs w:val="21"/>
        </w:rPr>
        <w:t>十里坪站、茅坪港站</w:t>
      </w:r>
      <w:r>
        <w:rPr>
          <w:color w:val="auto"/>
          <w:sz w:val="21"/>
          <w:szCs w:val="21"/>
        </w:rPr>
        <w:t>设置硬件安全冗余型计算机联锁设备</w:t>
      </w:r>
      <w:r>
        <w:rPr>
          <w:rFonts w:hint="eastAsia"/>
          <w:color w:val="auto"/>
          <w:sz w:val="21"/>
          <w:szCs w:val="21"/>
        </w:rPr>
        <w:t>，车站范围内的所有道岔均纳入联锁控制。</w:t>
      </w:r>
      <w:r>
        <w:rPr>
          <w:rFonts w:hint="eastAsia" w:hAnsi="宋体"/>
          <w:color w:val="auto"/>
          <w:sz w:val="21"/>
          <w:szCs w:val="21"/>
        </w:rPr>
        <w:t>结合本线引入宜昌南站，宜昌南站计算机联锁设备在既有设备基础上进行适应性修改。</w:t>
      </w:r>
    </w:p>
    <w:p w14:paraId="5548C8E9">
      <w:pPr>
        <w:ind w:firstLine="420" w:firstLineChars="200"/>
        <w:rPr>
          <w:color w:val="auto"/>
          <w:sz w:val="21"/>
          <w:szCs w:val="21"/>
        </w:rPr>
      </w:pPr>
      <w:r>
        <w:rPr>
          <w:rFonts w:hint="eastAsia"/>
          <w:color w:val="auto"/>
          <w:sz w:val="21"/>
          <w:szCs w:val="21"/>
        </w:rPr>
        <w:t>站内轨道电路采用97型25Hz相敏轨道电路，车站进站信号机接近区段采用97型25Hz相敏轨道电路；结合站场道岔类型，信号配套相应的转辙设备；采用铝合金机构色灯信号机。</w:t>
      </w:r>
    </w:p>
    <w:p w14:paraId="64506CC8">
      <w:pPr>
        <w:ind w:firstLine="420" w:firstLineChars="200"/>
        <w:rPr>
          <w:color w:val="auto"/>
          <w:sz w:val="21"/>
          <w:szCs w:val="21"/>
        </w:rPr>
      </w:pPr>
      <w:r>
        <w:rPr>
          <w:rFonts w:hint="eastAsia"/>
          <w:color w:val="auto"/>
          <w:sz w:val="21"/>
          <w:szCs w:val="21"/>
        </w:rPr>
        <w:t>5．信号集中监测</w:t>
      </w:r>
    </w:p>
    <w:p w14:paraId="7C6A2233">
      <w:pPr>
        <w:ind w:firstLine="420" w:firstLineChars="200"/>
        <w:rPr>
          <w:color w:val="auto"/>
          <w:sz w:val="21"/>
          <w:szCs w:val="21"/>
        </w:rPr>
      </w:pPr>
      <w:r>
        <w:rPr>
          <w:color w:val="auto"/>
          <w:sz w:val="21"/>
          <w:szCs w:val="21"/>
        </w:rPr>
        <w:t>本线设计信号集中监测系统，</w:t>
      </w:r>
      <w:r>
        <w:rPr>
          <w:rFonts w:hint="eastAsia" w:hAnsi="宋体"/>
          <w:color w:val="auto"/>
          <w:sz w:val="21"/>
          <w:szCs w:val="21"/>
        </w:rPr>
        <w:t>宜昌南站、十里坪站、茅坪港站</w:t>
      </w:r>
      <w:r>
        <w:rPr>
          <w:color w:val="auto"/>
          <w:sz w:val="21"/>
          <w:szCs w:val="21"/>
        </w:rPr>
        <w:t>设置信号集中监测分机</w:t>
      </w:r>
      <w:r>
        <w:rPr>
          <w:rFonts w:hint="eastAsia"/>
          <w:color w:val="auto"/>
          <w:sz w:val="21"/>
          <w:szCs w:val="21"/>
        </w:rPr>
        <w:t>；</w:t>
      </w:r>
      <w:r>
        <w:rPr>
          <w:color w:val="auto"/>
          <w:sz w:val="21"/>
          <w:szCs w:val="21"/>
        </w:rPr>
        <w:t>宜昌南站监测分机组网</w:t>
      </w:r>
      <w:r>
        <w:rPr>
          <w:rFonts w:hint="eastAsia" w:hAnsi="宋体"/>
          <w:color w:val="auto"/>
          <w:sz w:val="21"/>
          <w:szCs w:val="21"/>
        </w:rPr>
        <w:t>通道维持既有不变，接入</w:t>
      </w:r>
      <w:r>
        <w:rPr>
          <w:rFonts w:hint="eastAsia"/>
          <w:color w:val="auto"/>
          <w:sz w:val="21"/>
          <w:szCs w:val="21"/>
        </w:rPr>
        <w:t>宜昌综合维修段信号集中监测总机系统；</w:t>
      </w:r>
      <w:r>
        <w:rPr>
          <w:color w:val="auto"/>
          <w:sz w:val="21"/>
          <w:szCs w:val="21"/>
        </w:rPr>
        <w:t>新建工区、车间设置集中监测终端。</w:t>
      </w:r>
    </w:p>
    <w:p w14:paraId="0EAEEDCD">
      <w:pPr>
        <w:ind w:firstLine="420" w:firstLineChars="200"/>
        <w:rPr>
          <w:color w:val="auto"/>
          <w:sz w:val="21"/>
          <w:szCs w:val="21"/>
        </w:rPr>
      </w:pPr>
      <w:r>
        <w:rPr>
          <w:rFonts w:hint="eastAsia"/>
          <w:color w:val="auto"/>
          <w:sz w:val="21"/>
          <w:szCs w:val="21"/>
        </w:rPr>
        <w:t>6．电源设备</w:t>
      </w:r>
    </w:p>
    <w:p w14:paraId="67E57AE8">
      <w:pPr>
        <w:ind w:firstLine="420" w:firstLineChars="200"/>
        <w:rPr>
          <w:color w:val="auto"/>
          <w:sz w:val="21"/>
          <w:szCs w:val="21"/>
        </w:rPr>
      </w:pPr>
      <w:r>
        <w:rPr>
          <w:rFonts w:hint="eastAsia"/>
          <w:color w:val="auto"/>
          <w:sz w:val="21"/>
          <w:szCs w:val="21"/>
        </w:rPr>
        <w:t>十里坪站、茅坪港站</w:t>
      </w:r>
      <w:r>
        <w:rPr>
          <w:color w:val="auto"/>
          <w:sz w:val="21"/>
          <w:szCs w:val="21"/>
        </w:rPr>
        <w:t>采用综合智能电源屏</w:t>
      </w:r>
      <w:r>
        <w:rPr>
          <w:rFonts w:hint="eastAsia"/>
          <w:color w:val="auto"/>
          <w:sz w:val="21"/>
          <w:szCs w:val="21"/>
        </w:rPr>
        <w:t>并</w:t>
      </w:r>
      <w:r>
        <w:rPr>
          <w:color w:val="auto"/>
          <w:sz w:val="21"/>
          <w:szCs w:val="21"/>
        </w:rPr>
        <w:t>配备UPS电源，其容量按有人值守车站30分钟配置。</w:t>
      </w:r>
    </w:p>
    <w:p w14:paraId="69A90147">
      <w:pPr>
        <w:ind w:firstLine="420" w:firstLineChars="200"/>
        <w:rPr>
          <w:color w:val="auto"/>
          <w:sz w:val="21"/>
          <w:szCs w:val="21"/>
        </w:rPr>
      </w:pPr>
      <w:r>
        <w:rPr>
          <w:rFonts w:hint="eastAsia"/>
          <w:color w:val="auto"/>
          <w:sz w:val="21"/>
          <w:szCs w:val="21"/>
        </w:rPr>
        <w:t>7．无线调车机车信号和监控</w:t>
      </w:r>
    </w:p>
    <w:p w14:paraId="13A2E952">
      <w:pPr>
        <w:ind w:firstLine="420" w:firstLineChars="200"/>
        <w:rPr>
          <w:color w:val="auto"/>
          <w:sz w:val="21"/>
          <w:szCs w:val="21"/>
        </w:rPr>
      </w:pPr>
      <w:r>
        <w:rPr>
          <w:rFonts w:hint="eastAsia" w:hAnsi="宋体"/>
          <w:color w:val="auto"/>
          <w:sz w:val="21"/>
          <w:szCs w:val="21"/>
        </w:rPr>
        <w:t>本次工程在茅坪港站设置一套无线调车机车信号和监控系统（STP），对调车作业提供距离和速度防护。</w:t>
      </w:r>
    </w:p>
    <w:p w14:paraId="6BDDB12C">
      <w:pPr>
        <w:spacing w:line="480" w:lineRule="auto"/>
        <w:ind w:firstLine="420" w:firstLineChars="200"/>
        <w:outlineLvl w:val="1"/>
        <w:rPr>
          <w:rFonts w:eastAsia="黑体"/>
          <w:color w:val="auto"/>
          <w:sz w:val="21"/>
          <w:szCs w:val="21"/>
        </w:rPr>
      </w:pPr>
      <w:r>
        <w:rPr>
          <w:rFonts w:hint="eastAsia" w:eastAsia="黑体"/>
          <w:color w:val="auto"/>
          <w:sz w:val="21"/>
          <w:szCs w:val="21"/>
        </w:rPr>
        <w:t>二</w:t>
      </w:r>
      <w:r>
        <w:rPr>
          <w:rFonts w:eastAsia="黑体"/>
          <w:color w:val="auto"/>
          <w:sz w:val="21"/>
          <w:szCs w:val="21"/>
        </w:rPr>
        <w:t>、</w:t>
      </w:r>
      <w:r>
        <w:rPr>
          <w:rFonts w:hint="eastAsia" w:eastAsia="黑体"/>
          <w:bCs/>
          <w:color w:val="auto"/>
          <w:sz w:val="21"/>
          <w:szCs w:val="21"/>
        </w:rPr>
        <w:t>工作范围及责任</w:t>
      </w:r>
    </w:p>
    <w:p w14:paraId="32E2E2A4">
      <w:pPr>
        <w:ind w:firstLine="420" w:firstLineChars="200"/>
        <w:rPr>
          <w:color w:val="auto"/>
          <w:sz w:val="21"/>
          <w:szCs w:val="21"/>
        </w:rPr>
      </w:pPr>
      <w:r>
        <w:rPr>
          <w:rFonts w:hint="eastAsia"/>
          <w:color w:val="auto"/>
          <w:sz w:val="21"/>
          <w:szCs w:val="21"/>
        </w:rPr>
        <w:t>1．投标人工作范围包括宜昌南站、十里坪站、茅坪港站防雷设备（防雷保安器、电源防雷箱、防雷分线柜、等电位汇集线）的制造、试验、包装、运输，配合安装、现场调试、验收工作，进行设计联络，提供必要的图纸、资料，完成培训质保期及产品使用期内售后服务。投标人必须全过程参与上述工作，并对整个系统的功能实现、完整性、安全性、可靠性、可用性等负责。</w:t>
      </w:r>
    </w:p>
    <w:p w14:paraId="451D7895">
      <w:pPr>
        <w:ind w:firstLine="420" w:firstLineChars="200"/>
        <w:rPr>
          <w:color w:val="auto"/>
          <w:sz w:val="21"/>
          <w:szCs w:val="21"/>
        </w:rPr>
      </w:pPr>
      <w:r>
        <w:rPr>
          <w:rFonts w:hint="eastAsia"/>
          <w:color w:val="auto"/>
          <w:sz w:val="21"/>
          <w:szCs w:val="21"/>
        </w:rPr>
        <w:t>2．投标人在防雷设备（防雷保安器、电源防雷箱、防雷分线柜、等电位汇集线）生命周期内应对系统的功能和安全负责。为此投标人应指派确定的技术负责人，并征求招标人的书面认可，如人员变化应及时通知招标人（或接管维护单位），并取得其认可。</w:t>
      </w:r>
    </w:p>
    <w:p w14:paraId="16A7BF27">
      <w:pPr>
        <w:ind w:firstLine="420" w:firstLineChars="200"/>
        <w:rPr>
          <w:color w:val="auto"/>
          <w:sz w:val="21"/>
          <w:szCs w:val="21"/>
        </w:rPr>
      </w:pPr>
      <w:r>
        <w:rPr>
          <w:rFonts w:hint="eastAsia"/>
          <w:color w:val="auto"/>
          <w:sz w:val="21"/>
          <w:szCs w:val="21"/>
        </w:rPr>
        <w:t>3．投标人如与本技术规格书的要求有偏差（无论多少），都必须清楚地表示在“技术偏离表”中。否则招标人将认为投标人完全接受和同意本招标文件的要求。</w:t>
      </w:r>
    </w:p>
    <w:p w14:paraId="3C5CF889">
      <w:pPr>
        <w:ind w:firstLine="420" w:firstLineChars="200"/>
        <w:rPr>
          <w:color w:val="auto"/>
          <w:sz w:val="21"/>
          <w:szCs w:val="21"/>
        </w:rPr>
      </w:pPr>
      <w:r>
        <w:rPr>
          <w:rFonts w:hint="eastAsia"/>
          <w:color w:val="auto"/>
          <w:sz w:val="21"/>
          <w:szCs w:val="21"/>
        </w:rPr>
        <w:t>4．投标人须根据需要参与招标人或其代理人组织的调试、试验等工作。</w:t>
      </w:r>
    </w:p>
    <w:p w14:paraId="55B7708B">
      <w:pPr>
        <w:ind w:firstLine="420" w:firstLineChars="200"/>
        <w:rPr>
          <w:color w:val="auto"/>
          <w:sz w:val="21"/>
          <w:szCs w:val="21"/>
        </w:rPr>
      </w:pPr>
      <w:r>
        <w:rPr>
          <w:rFonts w:hint="eastAsia"/>
          <w:color w:val="auto"/>
          <w:sz w:val="21"/>
          <w:szCs w:val="21"/>
        </w:rPr>
        <w:t>5．系统设备开通投产后，在产品生命周期内，投标人须提供技术支持和售后服务等工作。</w:t>
      </w:r>
    </w:p>
    <w:p w14:paraId="796556FD">
      <w:pPr>
        <w:ind w:firstLine="420" w:firstLineChars="200"/>
        <w:rPr>
          <w:color w:val="auto"/>
          <w:sz w:val="21"/>
          <w:szCs w:val="21"/>
        </w:rPr>
      </w:pPr>
      <w:r>
        <w:rPr>
          <w:rFonts w:hint="eastAsia"/>
          <w:color w:val="auto"/>
          <w:sz w:val="21"/>
          <w:szCs w:val="21"/>
        </w:rPr>
        <w:t>6．投标人须按工作顺序提交所需的技术资料，所有资料必须符合本招标文件的要求，无论其是否被明细列在合同文件中。</w:t>
      </w:r>
    </w:p>
    <w:p w14:paraId="3FC72797">
      <w:pPr>
        <w:ind w:firstLine="420" w:firstLineChars="200"/>
        <w:rPr>
          <w:color w:val="auto"/>
          <w:sz w:val="21"/>
          <w:szCs w:val="21"/>
        </w:rPr>
      </w:pPr>
      <w:r>
        <w:rPr>
          <w:rFonts w:hint="eastAsia"/>
          <w:color w:val="auto"/>
          <w:sz w:val="21"/>
          <w:szCs w:val="21"/>
        </w:rPr>
        <w:t>7．投标人应保证供货设备的总体性能达到设计要求，满足运行需要。因投标人提供的设备本体及附属设备等的造型设计、制造质量问题导致设备无法正常投产，设备无法长期、连续、安全、稳定地运行，投标人必须为此负全部（直接、间接）责任。</w:t>
      </w:r>
    </w:p>
    <w:p w14:paraId="5646931C">
      <w:pPr>
        <w:ind w:firstLine="420" w:firstLineChars="200"/>
        <w:rPr>
          <w:color w:val="auto"/>
          <w:sz w:val="21"/>
          <w:szCs w:val="21"/>
        </w:rPr>
      </w:pPr>
      <w:r>
        <w:rPr>
          <w:rFonts w:hint="eastAsia"/>
          <w:color w:val="auto"/>
          <w:sz w:val="21"/>
          <w:szCs w:val="21"/>
        </w:rPr>
        <w:t>8．在签订合同后，招标人保留对本技术规格书提出补充要求和修改的权利，投标人应承诺予以配合。如提出修改，具体项目和条件由买卖双方商定。</w:t>
      </w:r>
    </w:p>
    <w:p w14:paraId="6C868F68">
      <w:pPr>
        <w:ind w:firstLine="420" w:firstLineChars="200"/>
        <w:rPr>
          <w:color w:val="auto"/>
          <w:sz w:val="21"/>
          <w:szCs w:val="21"/>
        </w:rPr>
      </w:pPr>
      <w:r>
        <w:rPr>
          <w:rFonts w:hint="eastAsia"/>
          <w:color w:val="auto"/>
          <w:sz w:val="21"/>
          <w:szCs w:val="21"/>
        </w:rPr>
        <w:t>9．投标人对产品及其主要部件的产地必须明确地标明在投标文件中，并附上相关证明文件。</w:t>
      </w:r>
    </w:p>
    <w:p w14:paraId="01387AC0">
      <w:pPr>
        <w:ind w:firstLine="420" w:firstLineChars="200"/>
        <w:rPr>
          <w:color w:val="auto"/>
          <w:sz w:val="21"/>
          <w:szCs w:val="21"/>
        </w:rPr>
      </w:pPr>
      <w:r>
        <w:rPr>
          <w:rFonts w:hint="eastAsia"/>
          <w:color w:val="auto"/>
          <w:sz w:val="21"/>
          <w:szCs w:val="21"/>
        </w:rPr>
        <w:t>10．投标人须对产品的专利负责，并保证不伤害采购人的利益。在法律范围内，所有文字、商标和技术侵权造成的相关费用均由投标人承担，招标人概不负责。</w:t>
      </w:r>
    </w:p>
    <w:p w14:paraId="6EC9D5DD">
      <w:pPr>
        <w:spacing w:line="480" w:lineRule="auto"/>
        <w:ind w:firstLine="420" w:firstLineChars="200"/>
        <w:outlineLvl w:val="1"/>
        <w:rPr>
          <w:rFonts w:eastAsia="黑体"/>
          <w:color w:val="auto"/>
          <w:sz w:val="21"/>
          <w:szCs w:val="21"/>
        </w:rPr>
      </w:pPr>
      <w:r>
        <w:rPr>
          <w:rFonts w:hint="eastAsia" w:eastAsia="黑体"/>
          <w:color w:val="auto"/>
          <w:sz w:val="21"/>
          <w:szCs w:val="21"/>
        </w:rPr>
        <w:t>三</w:t>
      </w:r>
      <w:r>
        <w:rPr>
          <w:rFonts w:eastAsia="黑体"/>
          <w:color w:val="auto"/>
          <w:sz w:val="21"/>
          <w:szCs w:val="21"/>
        </w:rPr>
        <w:t>、</w:t>
      </w:r>
      <w:r>
        <w:rPr>
          <w:rFonts w:hint="eastAsia" w:eastAsia="黑体"/>
          <w:bCs/>
          <w:color w:val="auto"/>
          <w:sz w:val="21"/>
          <w:szCs w:val="21"/>
        </w:rPr>
        <w:t>供货范围</w:t>
      </w:r>
    </w:p>
    <w:p w14:paraId="501E6F61">
      <w:pPr>
        <w:ind w:firstLine="420" w:firstLineChars="200"/>
        <w:rPr>
          <w:color w:val="auto"/>
          <w:sz w:val="21"/>
          <w:szCs w:val="21"/>
        </w:rPr>
      </w:pPr>
      <w:r>
        <w:rPr>
          <w:rFonts w:hint="eastAsia"/>
          <w:color w:val="auto"/>
          <w:sz w:val="21"/>
          <w:szCs w:val="21"/>
        </w:rPr>
        <w:t>本线工程供货范围为车站和区间使用的防雷设备（含防雷保安器、电源防雷箱、防雷分线柜、等电位汇集线）。</w:t>
      </w:r>
    </w:p>
    <w:p w14:paraId="3AA3B76D">
      <w:pPr>
        <w:spacing w:line="480" w:lineRule="auto"/>
        <w:ind w:firstLine="420" w:firstLineChars="200"/>
        <w:outlineLvl w:val="1"/>
        <w:rPr>
          <w:rFonts w:eastAsia="黑体"/>
          <w:color w:val="auto"/>
          <w:sz w:val="21"/>
          <w:szCs w:val="21"/>
        </w:rPr>
      </w:pPr>
      <w:r>
        <w:rPr>
          <w:rFonts w:hint="eastAsia" w:eastAsia="黑体"/>
          <w:color w:val="auto"/>
          <w:sz w:val="21"/>
          <w:szCs w:val="21"/>
        </w:rPr>
        <w:t>四</w:t>
      </w:r>
      <w:r>
        <w:rPr>
          <w:rFonts w:eastAsia="黑体"/>
          <w:color w:val="auto"/>
          <w:sz w:val="21"/>
          <w:szCs w:val="21"/>
        </w:rPr>
        <w:t>、</w:t>
      </w:r>
      <w:r>
        <w:rPr>
          <w:rFonts w:hint="eastAsia" w:eastAsia="黑体"/>
          <w:bCs/>
          <w:color w:val="auto"/>
          <w:sz w:val="21"/>
          <w:szCs w:val="21"/>
        </w:rPr>
        <w:t>规格与数量</w:t>
      </w:r>
    </w:p>
    <w:p w14:paraId="35C0AC9C">
      <w:pPr>
        <w:ind w:firstLine="420" w:firstLineChars="200"/>
        <w:rPr>
          <w:color w:val="auto"/>
          <w:sz w:val="21"/>
          <w:szCs w:val="21"/>
        </w:rPr>
      </w:pPr>
      <w:r>
        <w:rPr>
          <w:color w:val="auto"/>
          <w:sz w:val="21"/>
          <w:szCs w:val="21"/>
        </w:rPr>
        <w:t>1．</w:t>
      </w:r>
      <w:r>
        <w:rPr>
          <w:rFonts w:hint="eastAsia"/>
          <w:color w:val="auto"/>
          <w:sz w:val="21"/>
          <w:szCs w:val="21"/>
        </w:rPr>
        <w:t>各防雷设备供货数量及地点如下表，其中防雷保安器配置应满足各车站轨道、信号点灯、站场联等外线及电源外线防雷要求。</w:t>
      </w:r>
    </w:p>
    <w:p w14:paraId="3BAAB89C">
      <w:pPr>
        <w:jc w:val="center"/>
        <w:rPr>
          <w:rFonts w:hint="eastAsia" w:ascii="宋体" w:hAnsi="宋体" w:cs="宋体"/>
          <w:color w:val="auto"/>
          <w:sz w:val="21"/>
          <w:szCs w:val="21"/>
        </w:rPr>
      </w:pPr>
      <w:r>
        <w:rPr>
          <w:rFonts w:hint="eastAsia" w:ascii="宋体" w:hAnsi="宋体" w:cs="宋体"/>
          <w:color w:val="auto"/>
          <w:sz w:val="21"/>
          <w:szCs w:val="21"/>
        </w:rPr>
        <w:t>新设车站防雷设备需求表</w:t>
      </w:r>
    </w:p>
    <w:tbl>
      <w:tblPr>
        <w:tblStyle w:val="4"/>
        <w:tblW w:w="7854" w:type="dxa"/>
        <w:jc w:val="center"/>
        <w:tblLayout w:type="autofit"/>
        <w:tblCellMar>
          <w:top w:w="0" w:type="dxa"/>
          <w:left w:w="108" w:type="dxa"/>
          <w:bottom w:w="0" w:type="dxa"/>
          <w:right w:w="108" w:type="dxa"/>
        </w:tblCellMar>
      </w:tblPr>
      <w:tblGrid>
        <w:gridCol w:w="680"/>
        <w:gridCol w:w="2197"/>
        <w:gridCol w:w="2590"/>
        <w:gridCol w:w="734"/>
        <w:gridCol w:w="810"/>
        <w:gridCol w:w="843"/>
      </w:tblGrid>
      <w:tr w14:paraId="1DEB796F">
        <w:tblPrEx>
          <w:tblCellMar>
            <w:top w:w="0" w:type="dxa"/>
            <w:left w:w="108" w:type="dxa"/>
            <w:bottom w:w="0" w:type="dxa"/>
            <w:right w:w="108" w:type="dxa"/>
          </w:tblCellMar>
        </w:tblPrEx>
        <w:trPr>
          <w:trHeight w:val="270" w:hRule="atLeast"/>
          <w:tblHeader/>
          <w:jc w:val="center"/>
        </w:trPr>
        <w:tc>
          <w:tcPr>
            <w:tcW w:w="680" w:type="dxa"/>
            <w:tcBorders>
              <w:top w:val="single" w:color="auto" w:sz="4" w:space="0"/>
              <w:left w:val="single" w:color="auto" w:sz="4" w:space="0"/>
              <w:bottom w:val="single" w:color="auto" w:sz="4" w:space="0"/>
              <w:right w:val="single" w:color="auto" w:sz="4" w:space="0"/>
            </w:tcBorders>
            <w:vAlign w:val="center"/>
          </w:tcPr>
          <w:p w14:paraId="1F790DA5">
            <w:pPr>
              <w:widowControl/>
              <w:jc w:val="center"/>
              <w:rPr>
                <w:color w:val="auto"/>
                <w:sz w:val="21"/>
                <w:szCs w:val="21"/>
              </w:rPr>
            </w:pPr>
            <w:r>
              <w:rPr>
                <w:rFonts w:hAnsi="宋体"/>
                <w:color w:val="auto"/>
                <w:sz w:val="21"/>
                <w:szCs w:val="21"/>
              </w:rPr>
              <w:t>序号</w:t>
            </w:r>
          </w:p>
        </w:tc>
        <w:tc>
          <w:tcPr>
            <w:tcW w:w="2197" w:type="dxa"/>
            <w:tcBorders>
              <w:top w:val="single" w:color="auto" w:sz="4" w:space="0"/>
              <w:left w:val="single" w:color="auto" w:sz="4" w:space="0"/>
              <w:bottom w:val="single" w:color="auto" w:sz="4" w:space="0"/>
              <w:right w:val="single" w:color="auto" w:sz="4" w:space="0"/>
            </w:tcBorders>
            <w:vAlign w:val="center"/>
          </w:tcPr>
          <w:p w14:paraId="020D25AC">
            <w:pPr>
              <w:widowControl/>
              <w:jc w:val="center"/>
              <w:rPr>
                <w:color w:val="auto"/>
                <w:sz w:val="21"/>
                <w:szCs w:val="21"/>
              </w:rPr>
            </w:pPr>
            <w:r>
              <w:rPr>
                <w:rFonts w:hAnsi="宋体"/>
                <w:color w:val="auto"/>
                <w:sz w:val="21"/>
                <w:szCs w:val="21"/>
              </w:rPr>
              <w:t>物资名称</w:t>
            </w:r>
            <w:r>
              <w:rPr>
                <w:color w:val="auto"/>
                <w:sz w:val="21"/>
                <w:szCs w:val="21"/>
              </w:rPr>
              <w:t> </w:t>
            </w:r>
          </w:p>
        </w:tc>
        <w:tc>
          <w:tcPr>
            <w:tcW w:w="2590" w:type="dxa"/>
            <w:tcBorders>
              <w:top w:val="single" w:color="auto" w:sz="4" w:space="0"/>
              <w:left w:val="single" w:color="auto" w:sz="4" w:space="0"/>
              <w:bottom w:val="single" w:color="auto" w:sz="4" w:space="0"/>
              <w:right w:val="single" w:color="auto" w:sz="4" w:space="0"/>
            </w:tcBorders>
            <w:vAlign w:val="center"/>
          </w:tcPr>
          <w:p w14:paraId="4D6AE9D6">
            <w:pPr>
              <w:widowControl/>
              <w:jc w:val="center"/>
              <w:rPr>
                <w:color w:val="auto"/>
                <w:sz w:val="21"/>
                <w:szCs w:val="21"/>
              </w:rPr>
            </w:pPr>
            <w:r>
              <w:rPr>
                <w:rFonts w:hAnsi="宋体"/>
                <w:color w:val="auto"/>
                <w:sz w:val="21"/>
                <w:szCs w:val="21"/>
              </w:rPr>
              <w:t>型号规格</w:t>
            </w:r>
          </w:p>
        </w:tc>
        <w:tc>
          <w:tcPr>
            <w:tcW w:w="734" w:type="dxa"/>
            <w:tcBorders>
              <w:top w:val="single" w:color="auto" w:sz="4" w:space="0"/>
              <w:left w:val="single" w:color="auto" w:sz="4" w:space="0"/>
              <w:bottom w:val="single" w:color="auto" w:sz="4" w:space="0"/>
              <w:right w:val="single" w:color="auto" w:sz="4" w:space="0"/>
            </w:tcBorders>
            <w:vAlign w:val="center"/>
          </w:tcPr>
          <w:p w14:paraId="199992FC">
            <w:pPr>
              <w:widowControl/>
              <w:jc w:val="center"/>
              <w:rPr>
                <w:rFonts w:hint="eastAsia" w:hAnsi="宋体"/>
                <w:color w:val="auto"/>
                <w:sz w:val="21"/>
                <w:szCs w:val="21"/>
              </w:rPr>
            </w:pPr>
            <w:r>
              <w:rPr>
                <w:rFonts w:hAnsi="宋体"/>
                <w:color w:val="auto"/>
                <w:sz w:val="21"/>
                <w:szCs w:val="21"/>
              </w:rPr>
              <w:t>单位</w:t>
            </w:r>
          </w:p>
        </w:tc>
        <w:tc>
          <w:tcPr>
            <w:tcW w:w="810" w:type="dxa"/>
            <w:tcBorders>
              <w:top w:val="single" w:color="auto" w:sz="4" w:space="0"/>
              <w:left w:val="single" w:color="auto" w:sz="4" w:space="0"/>
              <w:bottom w:val="single" w:color="auto" w:sz="4" w:space="0"/>
              <w:right w:val="single" w:color="auto" w:sz="4" w:space="0"/>
            </w:tcBorders>
            <w:vAlign w:val="center"/>
          </w:tcPr>
          <w:p w14:paraId="33A888AB">
            <w:pPr>
              <w:widowControl/>
              <w:jc w:val="center"/>
              <w:rPr>
                <w:color w:val="auto"/>
                <w:sz w:val="21"/>
                <w:szCs w:val="21"/>
              </w:rPr>
            </w:pPr>
            <w:r>
              <w:rPr>
                <w:rFonts w:hAnsi="宋体"/>
                <w:color w:val="auto"/>
                <w:sz w:val="21"/>
                <w:szCs w:val="21"/>
              </w:rPr>
              <w:t>数量</w:t>
            </w:r>
          </w:p>
        </w:tc>
        <w:tc>
          <w:tcPr>
            <w:tcW w:w="843" w:type="dxa"/>
            <w:tcBorders>
              <w:top w:val="single" w:color="auto" w:sz="4" w:space="0"/>
              <w:left w:val="single" w:color="auto" w:sz="4" w:space="0"/>
              <w:bottom w:val="single" w:color="auto" w:sz="4" w:space="0"/>
              <w:right w:val="single" w:color="auto" w:sz="4" w:space="0"/>
            </w:tcBorders>
            <w:vAlign w:val="center"/>
          </w:tcPr>
          <w:p w14:paraId="638FC7A9">
            <w:pPr>
              <w:widowControl/>
              <w:jc w:val="center"/>
              <w:rPr>
                <w:color w:val="auto"/>
                <w:sz w:val="21"/>
                <w:szCs w:val="21"/>
              </w:rPr>
            </w:pPr>
            <w:r>
              <w:rPr>
                <w:rFonts w:hint="eastAsia" w:hAnsi="宋体"/>
                <w:color w:val="auto"/>
                <w:sz w:val="21"/>
                <w:szCs w:val="21"/>
              </w:rPr>
              <w:t>备注</w:t>
            </w:r>
          </w:p>
        </w:tc>
      </w:tr>
      <w:tr w14:paraId="50AE7A3C">
        <w:tblPrEx>
          <w:tblCellMar>
            <w:top w:w="0" w:type="dxa"/>
            <w:left w:w="108" w:type="dxa"/>
            <w:bottom w:w="0" w:type="dxa"/>
            <w:right w:w="108" w:type="dxa"/>
          </w:tblCellMar>
        </w:tblPrEx>
        <w:trPr>
          <w:trHeight w:val="270" w:hRule="atLeast"/>
          <w:jc w:val="center"/>
        </w:trPr>
        <w:tc>
          <w:tcPr>
            <w:tcW w:w="680" w:type="dxa"/>
            <w:tcBorders>
              <w:top w:val="single" w:color="auto" w:sz="4" w:space="0"/>
              <w:left w:val="single" w:color="auto" w:sz="4" w:space="0"/>
              <w:bottom w:val="single" w:color="auto" w:sz="4" w:space="0"/>
              <w:right w:val="single" w:color="auto" w:sz="4" w:space="0"/>
            </w:tcBorders>
            <w:vAlign w:val="center"/>
          </w:tcPr>
          <w:p w14:paraId="2DCF9489">
            <w:pPr>
              <w:widowControl/>
              <w:jc w:val="center"/>
              <w:rPr>
                <w:rFonts w:hint="eastAsia" w:eastAsia="宋体"/>
                <w:color w:val="auto"/>
                <w:sz w:val="21"/>
                <w:szCs w:val="21"/>
                <w:lang w:eastAsia="zh-CN"/>
              </w:rPr>
            </w:pPr>
            <w:r>
              <w:rPr>
                <w:rFonts w:hint="eastAsia"/>
                <w:color w:val="auto"/>
                <w:sz w:val="21"/>
                <w:szCs w:val="21"/>
                <w:lang w:val="en-US" w:eastAsia="zh-CN"/>
              </w:rPr>
              <w:t>1</w:t>
            </w:r>
          </w:p>
        </w:tc>
        <w:tc>
          <w:tcPr>
            <w:tcW w:w="2197" w:type="dxa"/>
            <w:tcBorders>
              <w:top w:val="single" w:color="auto" w:sz="4" w:space="0"/>
              <w:left w:val="single" w:color="auto" w:sz="4" w:space="0"/>
              <w:bottom w:val="single" w:color="auto" w:sz="4" w:space="0"/>
              <w:right w:val="single" w:color="auto" w:sz="4" w:space="0"/>
            </w:tcBorders>
            <w:vAlign w:val="center"/>
          </w:tcPr>
          <w:p w14:paraId="0F820C23">
            <w:pPr>
              <w:widowControl/>
              <w:jc w:val="left"/>
              <w:textAlignment w:val="center"/>
              <w:rPr>
                <w:color w:val="auto"/>
                <w:sz w:val="21"/>
                <w:szCs w:val="21"/>
              </w:rPr>
            </w:pPr>
            <w:r>
              <w:rPr>
                <w:rFonts w:hint="eastAsia" w:ascii="仿宋" w:hAnsi="仿宋" w:eastAsia="仿宋" w:cs="仿宋"/>
                <w:color w:val="auto"/>
                <w:sz w:val="21"/>
                <w:szCs w:val="21"/>
                <w:lang w:bidi="ar"/>
              </w:rPr>
              <w:t>综合防雷</w:t>
            </w:r>
          </w:p>
        </w:tc>
        <w:tc>
          <w:tcPr>
            <w:tcW w:w="2590" w:type="dxa"/>
            <w:tcBorders>
              <w:top w:val="single" w:color="auto" w:sz="4" w:space="0"/>
              <w:left w:val="single" w:color="auto" w:sz="4" w:space="0"/>
              <w:bottom w:val="single" w:color="auto" w:sz="4" w:space="0"/>
              <w:right w:val="single" w:color="auto" w:sz="4" w:space="0"/>
            </w:tcBorders>
            <w:vAlign w:val="center"/>
          </w:tcPr>
          <w:p w14:paraId="0B184F51">
            <w:pPr>
              <w:widowControl/>
              <w:jc w:val="left"/>
              <w:textAlignment w:val="center"/>
              <w:rPr>
                <w:color w:val="auto"/>
                <w:sz w:val="21"/>
                <w:szCs w:val="21"/>
              </w:rPr>
            </w:pPr>
            <w:r>
              <w:rPr>
                <w:rFonts w:hint="eastAsia" w:ascii="仿宋" w:hAnsi="仿宋" w:eastAsia="仿宋" w:cs="仿宋"/>
                <w:color w:val="auto"/>
                <w:sz w:val="21"/>
                <w:szCs w:val="21"/>
                <w:lang w:bidi="ar"/>
              </w:rPr>
              <w:t>（等电位施工，含材料）</w:t>
            </w:r>
          </w:p>
        </w:tc>
        <w:tc>
          <w:tcPr>
            <w:tcW w:w="734" w:type="dxa"/>
            <w:tcBorders>
              <w:top w:val="single" w:color="auto" w:sz="4" w:space="0"/>
              <w:left w:val="single" w:color="auto" w:sz="4" w:space="0"/>
              <w:bottom w:val="single" w:color="auto" w:sz="4" w:space="0"/>
              <w:right w:val="single" w:color="auto" w:sz="4" w:space="0"/>
            </w:tcBorders>
            <w:vAlign w:val="center"/>
          </w:tcPr>
          <w:p w14:paraId="3EA79D88">
            <w:pPr>
              <w:widowControl/>
              <w:jc w:val="center"/>
              <w:textAlignment w:val="center"/>
              <w:rPr>
                <w:rFonts w:hint="eastAsia" w:hAnsi="宋体"/>
                <w:color w:val="auto"/>
                <w:sz w:val="21"/>
                <w:szCs w:val="21"/>
              </w:rPr>
            </w:pPr>
            <w:r>
              <w:rPr>
                <w:rFonts w:hint="eastAsia" w:ascii="仿宋" w:hAnsi="仿宋" w:eastAsia="仿宋" w:cs="仿宋"/>
                <w:color w:val="auto"/>
                <w:sz w:val="21"/>
                <w:szCs w:val="21"/>
                <w:lang w:bidi="ar"/>
              </w:rPr>
              <w:t>站</w:t>
            </w:r>
          </w:p>
        </w:tc>
        <w:tc>
          <w:tcPr>
            <w:tcW w:w="810" w:type="dxa"/>
            <w:tcBorders>
              <w:top w:val="single" w:color="auto" w:sz="4" w:space="0"/>
              <w:left w:val="single" w:color="auto" w:sz="4" w:space="0"/>
              <w:bottom w:val="single" w:color="auto" w:sz="4" w:space="0"/>
              <w:right w:val="single" w:color="auto" w:sz="4" w:space="0"/>
            </w:tcBorders>
            <w:vAlign w:val="center"/>
          </w:tcPr>
          <w:p w14:paraId="3F5352B5">
            <w:pPr>
              <w:widowControl/>
              <w:jc w:val="center"/>
              <w:textAlignment w:val="center"/>
              <w:rPr>
                <w:rFonts w:hint="eastAsia" w:ascii="仿宋" w:hAnsi="仿宋" w:eastAsia="仿宋" w:cs="仿宋"/>
                <w:color w:val="auto"/>
                <w:kern w:val="2"/>
                <w:sz w:val="21"/>
                <w:szCs w:val="21"/>
              </w:rPr>
            </w:pPr>
            <w:r>
              <w:rPr>
                <w:rFonts w:hint="eastAsia" w:ascii="仿宋" w:hAnsi="仿宋" w:eastAsia="仿宋" w:cs="仿宋"/>
                <w:color w:val="auto"/>
                <w:sz w:val="21"/>
                <w:szCs w:val="21"/>
                <w:lang w:bidi="ar"/>
              </w:rPr>
              <w:t>2</w:t>
            </w:r>
          </w:p>
        </w:tc>
        <w:tc>
          <w:tcPr>
            <w:tcW w:w="843" w:type="dxa"/>
            <w:tcBorders>
              <w:top w:val="single" w:color="auto" w:sz="4" w:space="0"/>
              <w:left w:val="single" w:color="auto" w:sz="4" w:space="0"/>
              <w:bottom w:val="single" w:color="auto" w:sz="4" w:space="0"/>
              <w:right w:val="single" w:color="auto" w:sz="4" w:space="0"/>
            </w:tcBorders>
            <w:vAlign w:val="center"/>
          </w:tcPr>
          <w:p w14:paraId="7A98BD98">
            <w:pPr>
              <w:widowControl/>
              <w:jc w:val="center"/>
              <w:rPr>
                <w:color w:val="auto"/>
                <w:sz w:val="21"/>
                <w:szCs w:val="21"/>
              </w:rPr>
            </w:pPr>
            <w:r>
              <w:rPr>
                <w:rFonts w:hAnsi="宋体"/>
                <w:color w:val="auto"/>
                <w:sz w:val="21"/>
                <w:szCs w:val="21"/>
              </w:rPr>
              <w:t>　</w:t>
            </w:r>
          </w:p>
        </w:tc>
      </w:tr>
    </w:tbl>
    <w:p w14:paraId="5094401D">
      <w:pPr>
        <w:jc w:val="center"/>
        <w:rPr>
          <w:rFonts w:hint="eastAsia" w:ascii="宋体" w:hAnsi="宋体" w:cs="宋体"/>
          <w:color w:val="auto"/>
          <w:sz w:val="21"/>
          <w:szCs w:val="21"/>
        </w:rPr>
      </w:pPr>
      <w:r>
        <w:rPr>
          <w:rFonts w:hint="eastAsia" w:ascii="宋体" w:hAnsi="宋体" w:cs="宋体"/>
          <w:color w:val="auto"/>
          <w:sz w:val="21"/>
          <w:szCs w:val="21"/>
        </w:rPr>
        <w:t>宜昌南站防雷设备需求表</w:t>
      </w:r>
    </w:p>
    <w:tbl>
      <w:tblPr>
        <w:tblStyle w:val="4"/>
        <w:tblW w:w="7854" w:type="dxa"/>
        <w:jc w:val="center"/>
        <w:tblLayout w:type="autofit"/>
        <w:tblCellMar>
          <w:top w:w="0" w:type="dxa"/>
          <w:left w:w="108" w:type="dxa"/>
          <w:bottom w:w="0" w:type="dxa"/>
          <w:right w:w="108" w:type="dxa"/>
        </w:tblCellMar>
      </w:tblPr>
      <w:tblGrid>
        <w:gridCol w:w="680"/>
        <w:gridCol w:w="2197"/>
        <w:gridCol w:w="2577"/>
        <w:gridCol w:w="733"/>
        <w:gridCol w:w="824"/>
        <w:gridCol w:w="843"/>
      </w:tblGrid>
      <w:tr w14:paraId="0015F39A">
        <w:tblPrEx>
          <w:tblCellMar>
            <w:top w:w="0" w:type="dxa"/>
            <w:left w:w="108" w:type="dxa"/>
            <w:bottom w:w="0" w:type="dxa"/>
            <w:right w:w="108" w:type="dxa"/>
          </w:tblCellMar>
        </w:tblPrEx>
        <w:trPr>
          <w:trHeight w:val="270" w:hRule="atLeast"/>
          <w:tblHeader/>
          <w:jc w:val="center"/>
        </w:trPr>
        <w:tc>
          <w:tcPr>
            <w:tcW w:w="680" w:type="dxa"/>
            <w:tcBorders>
              <w:top w:val="single" w:color="auto" w:sz="4" w:space="0"/>
              <w:left w:val="single" w:color="auto" w:sz="4" w:space="0"/>
              <w:bottom w:val="single" w:color="auto" w:sz="4" w:space="0"/>
              <w:right w:val="single" w:color="auto" w:sz="4" w:space="0"/>
            </w:tcBorders>
            <w:vAlign w:val="center"/>
          </w:tcPr>
          <w:p w14:paraId="626C7D16">
            <w:pPr>
              <w:widowControl/>
              <w:jc w:val="center"/>
              <w:rPr>
                <w:color w:val="auto"/>
                <w:sz w:val="21"/>
                <w:szCs w:val="21"/>
              </w:rPr>
            </w:pPr>
            <w:r>
              <w:rPr>
                <w:rFonts w:hAnsi="宋体"/>
                <w:color w:val="auto"/>
                <w:sz w:val="21"/>
                <w:szCs w:val="21"/>
              </w:rPr>
              <w:t>序号</w:t>
            </w:r>
          </w:p>
        </w:tc>
        <w:tc>
          <w:tcPr>
            <w:tcW w:w="2197" w:type="dxa"/>
            <w:tcBorders>
              <w:top w:val="single" w:color="auto" w:sz="4" w:space="0"/>
              <w:left w:val="single" w:color="auto" w:sz="4" w:space="0"/>
              <w:bottom w:val="single" w:color="auto" w:sz="4" w:space="0"/>
              <w:right w:val="single" w:color="auto" w:sz="4" w:space="0"/>
            </w:tcBorders>
            <w:vAlign w:val="center"/>
          </w:tcPr>
          <w:p w14:paraId="7707AC0D">
            <w:pPr>
              <w:widowControl/>
              <w:jc w:val="center"/>
              <w:rPr>
                <w:color w:val="auto"/>
                <w:sz w:val="21"/>
                <w:szCs w:val="21"/>
              </w:rPr>
            </w:pPr>
            <w:r>
              <w:rPr>
                <w:rFonts w:hAnsi="宋体"/>
                <w:color w:val="auto"/>
                <w:sz w:val="21"/>
                <w:szCs w:val="21"/>
              </w:rPr>
              <w:t>物资名称</w:t>
            </w:r>
            <w:r>
              <w:rPr>
                <w:color w:val="auto"/>
                <w:sz w:val="21"/>
                <w:szCs w:val="21"/>
              </w:rPr>
              <w:t> </w:t>
            </w:r>
          </w:p>
        </w:tc>
        <w:tc>
          <w:tcPr>
            <w:tcW w:w="2577" w:type="dxa"/>
            <w:tcBorders>
              <w:top w:val="single" w:color="auto" w:sz="4" w:space="0"/>
              <w:left w:val="single" w:color="auto" w:sz="4" w:space="0"/>
              <w:bottom w:val="single" w:color="auto" w:sz="4" w:space="0"/>
              <w:right w:val="single" w:color="auto" w:sz="4" w:space="0"/>
            </w:tcBorders>
            <w:vAlign w:val="center"/>
          </w:tcPr>
          <w:p w14:paraId="7C60609C">
            <w:pPr>
              <w:widowControl/>
              <w:jc w:val="center"/>
              <w:rPr>
                <w:color w:val="auto"/>
                <w:sz w:val="21"/>
                <w:szCs w:val="21"/>
              </w:rPr>
            </w:pPr>
            <w:r>
              <w:rPr>
                <w:rFonts w:hAnsi="宋体"/>
                <w:color w:val="auto"/>
                <w:sz w:val="21"/>
                <w:szCs w:val="21"/>
              </w:rPr>
              <w:t>型号规格</w:t>
            </w:r>
          </w:p>
        </w:tc>
        <w:tc>
          <w:tcPr>
            <w:tcW w:w="733" w:type="dxa"/>
            <w:tcBorders>
              <w:top w:val="single" w:color="auto" w:sz="4" w:space="0"/>
              <w:left w:val="single" w:color="auto" w:sz="4" w:space="0"/>
              <w:bottom w:val="single" w:color="auto" w:sz="4" w:space="0"/>
              <w:right w:val="single" w:color="auto" w:sz="4" w:space="0"/>
            </w:tcBorders>
            <w:vAlign w:val="center"/>
          </w:tcPr>
          <w:p w14:paraId="18674479">
            <w:pPr>
              <w:widowControl/>
              <w:jc w:val="center"/>
              <w:rPr>
                <w:rFonts w:hint="eastAsia" w:hAnsi="宋体"/>
                <w:color w:val="auto"/>
                <w:sz w:val="21"/>
                <w:szCs w:val="21"/>
              </w:rPr>
            </w:pPr>
            <w:r>
              <w:rPr>
                <w:rFonts w:hAnsi="宋体"/>
                <w:color w:val="auto"/>
                <w:sz w:val="21"/>
                <w:szCs w:val="21"/>
              </w:rPr>
              <w:t>单位</w:t>
            </w:r>
          </w:p>
        </w:tc>
        <w:tc>
          <w:tcPr>
            <w:tcW w:w="824" w:type="dxa"/>
            <w:tcBorders>
              <w:top w:val="single" w:color="auto" w:sz="4" w:space="0"/>
              <w:left w:val="single" w:color="auto" w:sz="4" w:space="0"/>
              <w:bottom w:val="single" w:color="auto" w:sz="4" w:space="0"/>
              <w:right w:val="single" w:color="auto" w:sz="4" w:space="0"/>
            </w:tcBorders>
            <w:vAlign w:val="center"/>
          </w:tcPr>
          <w:p w14:paraId="4CBA9CEA">
            <w:pPr>
              <w:widowControl/>
              <w:jc w:val="center"/>
              <w:rPr>
                <w:color w:val="auto"/>
                <w:sz w:val="21"/>
                <w:szCs w:val="21"/>
              </w:rPr>
            </w:pPr>
            <w:r>
              <w:rPr>
                <w:rFonts w:hAnsi="宋体"/>
                <w:color w:val="auto"/>
                <w:sz w:val="21"/>
                <w:szCs w:val="21"/>
              </w:rPr>
              <w:t>数量</w:t>
            </w:r>
          </w:p>
        </w:tc>
        <w:tc>
          <w:tcPr>
            <w:tcW w:w="843" w:type="dxa"/>
            <w:tcBorders>
              <w:top w:val="single" w:color="auto" w:sz="4" w:space="0"/>
              <w:left w:val="single" w:color="auto" w:sz="4" w:space="0"/>
              <w:bottom w:val="single" w:color="auto" w:sz="4" w:space="0"/>
              <w:right w:val="single" w:color="auto" w:sz="4" w:space="0"/>
            </w:tcBorders>
            <w:vAlign w:val="center"/>
          </w:tcPr>
          <w:p w14:paraId="2E22975F">
            <w:pPr>
              <w:widowControl/>
              <w:jc w:val="center"/>
              <w:rPr>
                <w:color w:val="auto"/>
                <w:sz w:val="21"/>
                <w:szCs w:val="21"/>
              </w:rPr>
            </w:pPr>
            <w:r>
              <w:rPr>
                <w:rFonts w:hint="eastAsia" w:hAnsi="宋体"/>
                <w:color w:val="auto"/>
                <w:sz w:val="21"/>
                <w:szCs w:val="21"/>
              </w:rPr>
              <w:t>备注</w:t>
            </w:r>
          </w:p>
        </w:tc>
      </w:tr>
      <w:tr w14:paraId="66E67963">
        <w:tblPrEx>
          <w:tblCellMar>
            <w:top w:w="0" w:type="dxa"/>
            <w:left w:w="108" w:type="dxa"/>
            <w:bottom w:w="0" w:type="dxa"/>
            <w:right w:w="108" w:type="dxa"/>
          </w:tblCellMar>
        </w:tblPrEx>
        <w:trPr>
          <w:trHeight w:val="270" w:hRule="atLeast"/>
          <w:jc w:val="center"/>
        </w:trPr>
        <w:tc>
          <w:tcPr>
            <w:tcW w:w="680" w:type="dxa"/>
            <w:tcBorders>
              <w:top w:val="single" w:color="auto" w:sz="4" w:space="0"/>
              <w:left w:val="single" w:color="auto" w:sz="4" w:space="0"/>
              <w:bottom w:val="single" w:color="auto" w:sz="4" w:space="0"/>
              <w:right w:val="single" w:color="auto" w:sz="4" w:space="0"/>
            </w:tcBorders>
            <w:vAlign w:val="center"/>
          </w:tcPr>
          <w:p w14:paraId="5FCCF95D">
            <w:pPr>
              <w:widowControl/>
              <w:jc w:val="center"/>
              <w:rPr>
                <w:rFonts w:hint="eastAsia" w:eastAsia="宋体"/>
                <w:color w:val="auto"/>
                <w:sz w:val="21"/>
                <w:szCs w:val="21"/>
                <w:lang w:eastAsia="zh-CN"/>
              </w:rPr>
            </w:pPr>
            <w:r>
              <w:rPr>
                <w:rFonts w:hint="eastAsia"/>
                <w:color w:val="auto"/>
                <w:sz w:val="21"/>
                <w:szCs w:val="21"/>
                <w:lang w:val="en-US" w:eastAsia="zh-CN"/>
              </w:rPr>
              <w:t>1</w:t>
            </w:r>
          </w:p>
        </w:tc>
        <w:tc>
          <w:tcPr>
            <w:tcW w:w="2197" w:type="dxa"/>
            <w:tcBorders>
              <w:top w:val="single" w:color="auto" w:sz="4" w:space="0"/>
              <w:left w:val="single" w:color="auto" w:sz="4" w:space="0"/>
              <w:bottom w:val="single" w:color="auto" w:sz="4" w:space="0"/>
              <w:right w:val="single" w:color="auto" w:sz="4" w:space="0"/>
            </w:tcBorders>
            <w:vAlign w:val="center"/>
          </w:tcPr>
          <w:p w14:paraId="55875E3E">
            <w:pPr>
              <w:widowControl/>
              <w:jc w:val="left"/>
              <w:textAlignment w:val="center"/>
              <w:rPr>
                <w:color w:val="auto"/>
                <w:sz w:val="21"/>
                <w:szCs w:val="21"/>
              </w:rPr>
            </w:pPr>
            <w:r>
              <w:rPr>
                <w:rFonts w:hint="eastAsia" w:ascii="仿宋" w:hAnsi="仿宋" w:eastAsia="仿宋" w:cs="仿宋"/>
                <w:color w:val="auto"/>
                <w:sz w:val="21"/>
                <w:szCs w:val="21"/>
                <w:lang w:bidi="ar"/>
              </w:rPr>
              <w:t>综合防雷</w:t>
            </w:r>
          </w:p>
        </w:tc>
        <w:tc>
          <w:tcPr>
            <w:tcW w:w="2577" w:type="dxa"/>
            <w:tcBorders>
              <w:top w:val="single" w:color="auto" w:sz="4" w:space="0"/>
              <w:left w:val="single" w:color="auto" w:sz="4" w:space="0"/>
              <w:bottom w:val="single" w:color="auto" w:sz="4" w:space="0"/>
              <w:right w:val="single" w:color="auto" w:sz="4" w:space="0"/>
            </w:tcBorders>
            <w:vAlign w:val="center"/>
          </w:tcPr>
          <w:p w14:paraId="45375B39">
            <w:pPr>
              <w:widowControl/>
              <w:jc w:val="left"/>
              <w:textAlignment w:val="center"/>
              <w:rPr>
                <w:color w:val="auto"/>
                <w:sz w:val="21"/>
                <w:szCs w:val="21"/>
              </w:rPr>
            </w:pPr>
            <w:r>
              <w:rPr>
                <w:rFonts w:hint="eastAsia" w:ascii="仿宋" w:hAnsi="仿宋" w:eastAsia="仿宋" w:cs="仿宋"/>
                <w:color w:val="auto"/>
                <w:sz w:val="21"/>
                <w:szCs w:val="21"/>
                <w:lang w:bidi="ar"/>
              </w:rPr>
              <w:t>（等电位施工，含材料）</w:t>
            </w:r>
          </w:p>
        </w:tc>
        <w:tc>
          <w:tcPr>
            <w:tcW w:w="733" w:type="dxa"/>
            <w:tcBorders>
              <w:top w:val="single" w:color="auto" w:sz="4" w:space="0"/>
              <w:left w:val="single" w:color="auto" w:sz="4" w:space="0"/>
              <w:bottom w:val="single" w:color="auto" w:sz="4" w:space="0"/>
              <w:right w:val="single" w:color="auto" w:sz="4" w:space="0"/>
            </w:tcBorders>
            <w:vAlign w:val="center"/>
          </w:tcPr>
          <w:p w14:paraId="77B3665B">
            <w:pPr>
              <w:widowControl/>
              <w:jc w:val="center"/>
              <w:textAlignment w:val="center"/>
              <w:rPr>
                <w:rFonts w:hint="eastAsia" w:hAnsi="宋体"/>
                <w:color w:val="auto"/>
                <w:sz w:val="21"/>
                <w:szCs w:val="21"/>
              </w:rPr>
            </w:pPr>
            <w:r>
              <w:rPr>
                <w:rFonts w:hint="eastAsia" w:ascii="仿宋" w:hAnsi="仿宋" w:eastAsia="仿宋" w:cs="仿宋"/>
                <w:color w:val="auto"/>
                <w:sz w:val="21"/>
                <w:szCs w:val="21"/>
                <w:lang w:bidi="ar"/>
              </w:rPr>
              <w:t>站</w:t>
            </w:r>
          </w:p>
        </w:tc>
        <w:tc>
          <w:tcPr>
            <w:tcW w:w="824" w:type="dxa"/>
            <w:tcBorders>
              <w:top w:val="single" w:color="auto" w:sz="4" w:space="0"/>
              <w:left w:val="single" w:color="auto" w:sz="4" w:space="0"/>
              <w:bottom w:val="single" w:color="auto" w:sz="4" w:space="0"/>
              <w:right w:val="single" w:color="auto" w:sz="4" w:space="0"/>
            </w:tcBorders>
            <w:vAlign w:val="center"/>
          </w:tcPr>
          <w:p w14:paraId="386AAA4B">
            <w:pPr>
              <w:widowControl/>
              <w:jc w:val="center"/>
              <w:textAlignment w:val="center"/>
              <w:rPr>
                <w:color w:val="auto"/>
                <w:sz w:val="21"/>
                <w:szCs w:val="21"/>
              </w:rPr>
            </w:pPr>
            <w:r>
              <w:rPr>
                <w:rFonts w:hint="eastAsia" w:ascii="仿宋" w:hAnsi="仿宋" w:eastAsia="仿宋" w:cs="仿宋"/>
                <w:color w:val="auto"/>
                <w:sz w:val="21"/>
                <w:szCs w:val="21"/>
                <w:lang w:bidi="ar"/>
              </w:rPr>
              <w:t>1</w:t>
            </w:r>
          </w:p>
        </w:tc>
        <w:tc>
          <w:tcPr>
            <w:tcW w:w="843" w:type="dxa"/>
            <w:tcBorders>
              <w:top w:val="single" w:color="auto" w:sz="4" w:space="0"/>
              <w:left w:val="single" w:color="auto" w:sz="4" w:space="0"/>
              <w:bottom w:val="single" w:color="auto" w:sz="4" w:space="0"/>
              <w:right w:val="single" w:color="auto" w:sz="4" w:space="0"/>
            </w:tcBorders>
            <w:vAlign w:val="center"/>
          </w:tcPr>
          <w:p w14:paraId="6F13D530">
            <w:pPr>
              <w:widowControl/>
              <w:jc w:val="center"/>
              <w:rPr>
                <w:color w:val="auto"/>
                <w:sz w:val="21"/>
                <w:szCs w:val="21"/>
              </w:rPr>
            </w:pPr>
            <w:r>
              <w:rPr>
                <w:rFonts w:hAnsi="宋体"/>
                <w:color w:val="auto"/>
                <w:sz w:val="21"/>
                <w:szCs w:val="21"/>
              </w:rPr>
              <w:t>　</w:t>
            </w:r>
          </w:p>
        </w:tc>
      </w:tr>
    </w:tbl>
    <w:p w14:paraId="1FA5666F">
      <w:pPr>
        <w:ind w:firstLine="420" w:firstLineChars="200"/>
        <w:rPr>
          <w:color w:val="auto"/>
          <w:sz w:val="21"/>
          <w:szCs w:val="21"/>
        </w:rPr>
      </w:pPr>
      <w:r>
        <w:rPr>
          <w:rFonts w:hint="eastAsia"/>
          <w:color w:val="auto"/>
          <w:sz w:val="21"/>
          <w:szCs w:val="21"/>
        </w:rPr>
        <w:t>2</w:t>
      </w:r>
      <w:r>
        <w:rPr>
          <w:color w:val="auto"/>
          <w:sz w:val="21"/>
          <w:szCs w:val="21"/>
        </w:rPr>
        <w:t>．</w:t>
      </w:r>
      <w:r>
        <w:rPr>
          <w:rFonts w:hint="eastAsia"/>
          <w:color w:val="auto"/>
          <w:sz w:val="21"/>
          <w:szCs w:val="21"/>
        </w:rPr>
        <w:t>投标人应提供各设备的分项价格清单，其中防雷保安器需按详细型号报出分项价格。</w:t>
      </w:r>
    </w:p>
    <w:p w14:paraId="2757866B">
      <w:pPr>
        <w:ind w:firstLine="420" w:firstLineChars="200"/>
        <w:rPr>
          <w:color w:val="auto"/>
          <w:sz w:val="21"/>
          <w:szCs w:val="21"/>
        </w:rPr>
      </w:pPr>
      <w:r>
        <w:rPr>
          <w:rFonts w:hint="eastAsia"/>
          <w:color w:val="auto"/>
          <w:sz w:val="21"/>
          <w:szCs w:val="21"/>
        </w:rPr>
        <w:t>3</w:t>
      </w:r>
      <w:r>
        <w:rPr>
          <w:color w:val="auto"/>
          <w:sz w:val="21"/>
          <w:szCs w:val="21"/>
        </w:rPr>
        <w:t>．</w:t>
      </w:r>
      <w:r>
        <w:rPr>
          <w:rFonts w:hint="eastAsia"/>
          <w:color w:val="auto"/>
          <w:sz w:val="21"/>
          <w:szCs w:val="21"/>
        </w:rPr>
        <w:t>投标人应免费提供必要的随机配件及专用工具，技术建议书中应列出随机配件清单。</w:t>
      </w:r>
    </w:p>
    <w:p w14:paraId="63CC8565">
      <w:pPr>
        <w:ind w:firstLine="420" w:firstLineChars="200"/>
        <w:rPr>
          <w:color w:val="auto"/>
          <w:sz w:val="21"/>
          <w:szCs w:val="21"/>
        </w:rPr>
      </w:pPr>
      <w:r>
        <w:rPr>
          <w:rFonts w:hint="eastAsia"/>
          <w:color w:val="auto"/>
          <w:sz w:val="21"/>
          <w:szCs w:val="21"/>
        </w:rPr>
        <w:t>4</w:t>
      </w:r>
      <w:r>
        <w:rPr>
          <w:color w:val="auto"/>
          <w:sz w:val="21"/>
          <w:szCs w:val="21"/>
        </w:rPr>
        <w:t>．</w:t>
      </w:r>
      <w:r>
        <w:rPr>
          <w:rFonts w:hint="eastAsia"/>
          <w:color w:val="auto"/>
          <w:sz w:val="21"/>
          <w:szCs w:val="21"/>
        </w:rPr>
        <w:t>投标人必须免费提供质保期内的备品备件，应以保证设备正常使用、不影响铁路运输、满足现场运营维护需求为原则，同运营维护部门协商确定存放于现场的质保期备品备件种类和数量。</w:t>
      </w:r>
    </w:p>
    <w:p w14:paraId="38265B51">
      <w:pPr>
        <w:ind w:firstLine="420" w:firstLineChars="200"/>
        <w:rPr>
          <w:color w:val="auto"/>
          <w:sz w:val="21"/>
          <w:szCs w:val="21"/>
        </w:rPr>
      </w:pPr>
      <w:r>
        <w:rPr>
          <w:rFonts w:hint="eastAsia"/>
          <w:color w:val="auto"/>
          <w:sz w:val="21"/>
          <w:szCs w:val="21"/>
        </w:rPr>
        <w:t>5</w:t>
      </w:r>
      <w:r>
        <w:rPr>
          <w:color w:val="auto"/>
          <w:sz w:val="21"/>
          <w:szCs w:val="21"/>
        </w:rPr>
        <w:t>．</w:t>
      </w:r>
      <w:r>
        <w:rPr>
          <w:rFonts w:hint="eastAsia"/>
          <w:color w:val="auto"/>
          <w:sz w:val="21"/>
          <w:szCs w:val="21"/>
        </w:rPr>
        <w:t>在合同执行过程中，招标人保留根据实际工程需要对设备供货数量进行调整的权利。各种规格设备的单价在合同执行过程中不变，总价按实际供货数量计算。招标人如有调整，应在预定交货期前1个月通知投标人。</w:t>
      </w:r>
    </w:p>
    <w:p w14:paraId="328A1449">
      <w:pPr>
        <w:ind w:firstLine="420" w:firstLineChars="200"/>
        <w:rPr>
          <w:color w:val="auto"/>
          <w:sz w:val="21"/>
          <w:szCs w:val="21"/>
        </w:rPr>
      </w:pPr>
      <w:r>
        <w:rPr>
          <w:rFonts w:hint="eastAsia"/>
          <w:color w:val="auto"/>
          <w:sz w:val="21"/>
          <w:szCs w:val="21"/>
        </w:rPr>
        <w:t>6</w:t>
      </w:r>
      <w:r>
        <w:rPr>
          <w:color w:val="auto"/>
          <w:sz w:val="21"/>
          <w:szCs w:val="21"/>
        </w:rPr>
        <w:t>．</w:t>
      </w:r>
      <w:r>
        <w:rPr>
          <w:rFonts w:hint="eastAsia"/>
          <w:color w:val="auto"/>
          <w:sz w:val="21"/>
          <w:szCs w:val="21"/>
        </w:rPr>
        <w:t>设备的计划交货日期为合同签字后的3个月内。</w:t>
      </w:r>
    </w:p>
    <w:p w14:paraId="7638F089">
      <w:pPr>
        <w:ind w:firstLine="420" w:firstLineChars="200"/>
        <w:rPr>
          <w:color w:val="auto"/>
          <w:sz w:val="21"/>
          <w:szCs w:val="21"/>
        </w:rPr>
      </w:pPr>
      <w:r>
        <w:rPr>
          <w:rFonts w:hint="eastAsia"/>
          <w:color w:val="auto"/>
          <w:sz w:val="21"/>
          <w:szCs w:val="21"/>
        </w:rPr>
        <w:t>7</w:t>
      </w:r>
      <w:r>
        <w:rPr>
          <w:color w:val="auto"/>
          <w:sz w:val="21"/>
          <w:szCs w:val="21"/>
        </w:rPr>
        <w:t>．</w:t>
      </w:r>
      <w:r>
        <w:rPr>
          <w:rFonts w:hint="eastAsia"/>
          <w:color w:val="auto"/>
          <w:sz w:val="21"/>
          <w:szCs w:val="21"/>
        </w:rPr>
        <w:t>设备的交货地点为现场安装点。</w:t>
      </w:r>
    </w:p>
    <w:p w14:paraId="0170A492">
      <w:pPr>
        <w:spacing w:line="480" w:lineRule="auto"/>
        <w:ind w:firstLine="420" w:firstLineChars="200"/>
        <w:outlineLvl w:val="1"/>
        <w:rPr>
          <w:rFonts w:eastAsia="黑体"/>
          <w:color w:val="auto"/>
          <w:sz w:val="21"/>
          <w:szCs w:val="21"/>
        </w:rPr>
      </w:pPr>
      <w:r>
        <w:rPr>
          <w:rFonts w:hint="eastAsia" w:eastAsia="黑体"/>
          <w:color w:val="auto"/>
          <w:sz w:val="21"/>
          <w:szCs w:val="21"/>
        </w:rPr>
        <w:t>五</w:t>
      </w:r>
      <w:r>
        <w:rPr>
          <w:rFonts w:eastAsia="黑体"/>
          <w:color w:val="auto"/>
          <w:sz w:val="21"/>
          <w:szCs w:val="21"/>
        </w:rPr>
        <w:t>、</w:t>
      </w:r>
      <w:r>
        <w:rPr>
          <w:rFonts w:hint="eastAsia" w:eastAsia="黑体"/>
          <w:bCs/>
          <w:color w:val="auto"/>
          <w:sz w:val="21"/>
          <w:szCs w:val="21"/>
        </w:rPr>
        <w:t>技术资格</w:t>
      </w:r>
    </w:p>
    <w:p w14:paraId="59661E9F">
      <w:pPr>
        <w:ind w:firstLine="420" w:firstLineChars="200"/>
        <w:rPr>
          <w:color w:val="auto"/>
          <w:sz w:val="21"/>
          <w:szCs w:val="21"/>
        </w:rPr>
      </w:pPr>
      <w:r>
        <w:rPr>
          <w:rFonts w:hint="eastAsia"/>
          <w:color w:val="auto"/>
          <w:sz w:val="21"/>
          <w:szCs w:val="21"/>
        </w:rPr>
        <w:t>★1</w:t>
      </w:r>
      <w:r>
        <w:rPr>
          <w:color w:val="auto"/>
          <w:sz w:val="21"/>
          <w:szCs w:val="21"/>
        </w:rPr>
        <w:t>．投标人</w:t>
      </w:r>
      <w:r>
        <w:rPr>
          <w:rFonts w:hint="eastAsia"/>
          <w:color w:val="auto"/>
          <w:sz w:val="21"/>
          <w:szCs w:val="21"/>
        </w:rPr>
        <w:t>提供的设备器材须符合国家及行业准入规定。</w:t>
      </w:r>
    </w:p>
    <w:p w14:paraId="3DB1B2B3">
      <w:pPr>
        <w:ind w:firstLine="420" w:firstLineChars="200"/>
        <w:rPr>
          <w:color w:val="auto"/>
          <w:sz w:val="21"/>
          <w:szCs w:val="21"/>
        </w:rPr>
      </w:pPr>
      <w:r>
        <w:rPr>
          <w:rFonts w:hint="eastAsia"/>
          <w:color w:val="auto"/>
          <w:sz w:val="21"/>
          <w:szCs w:val="21"/>
        </w:rPr>
        <w:t>2</w:t>
      </w:r>
      <w:r>
        <w:rPr>
          <w:color w:val="auto"/>
          <w:sz w:val="21"/>
          <w:szCs w:val="21"/>
        </w:rPr>
        <w:t>．投标人应保证制造过程中所有工艺、设备、材料等均符合技术规格书的规定。</w:t>
      </w:r>
    </w:p>
    <w:p w14:paraId="65214269">
      <w:pPr>
        <w:ind w:firstLine="420" w:firstLineChars="200"/>
        <w:rPr>
          <w:color w:val="auto"/>
          <w:sz w:val="21"/>
          <w:szCs w:val="21"/>
        </w:rPr>
      </w:pPr>
      <w:r>
        <w:rPr>
          <w:rFonts w:hint="eastAsia"/>
          <w:color w:val="auto"/>
          <w:sz w:val="21"/>
          <w:szCs w:val="21"/>
        </w:rPr>
        <w:t>★3</w:t>
      </w:r>
      <w:r>
        <w:rPr>
          <w:color w:val="auto"/>
          <w:sz w:val="21"/>
          <w:szCs w:val="21"/>
        </w:rPr>
        <w:t>．投标人应遵守本规格书中各条款和工作项目的ISO9000或GB/T</w:t>
      </w:r>
      <w:r>
        <w:rPr>
          <w:rFonts w:hint="eastAsia"/>
          <w:color w:val="auto"/>
          <w:sz w:val="21"/>
          <w:szCs w:val="21"/>
        </w:rPr>
        <w:t xml:space="preserve"> </w:t>
      </w:r>
      <w:r>
        <w:rPr>
          <w:color w:val="auto"/>
          <w:sz w:val="21"/>
          <w:szCs w:val="21"/>
        </w:rPr>
        <w:t>19000质量保证体系，质量保证体系必须经过国家认证和正常运转，并提供认证证书。</w:t>
      </w:r>
    </w:p>
    <w:p w14:paraId="47FD97A0">
      <w:pPr>
        <w:ind w:firstLine="420" w:firstLineChars="200"/>
        <w:rPr>
          <w:color w:val="auto"/>
          <w:sz w:val="21"/>
          <w:szCs w:val="21"/>
        </w:rPr>
      </w:pPr>
      <w:r>
        <w:rPr>
          <w:rFonts w:hint="eastAsia"/>
          <w:color w:val="auto"/>
          <w:sz w:val="21"/>
          <w:szCs w:val="21"/>
        </w:rPr>
        <w:t>4</w:t>
      </w:r>
      <w:r>
        <w:rPr>
          <w:color w:val="auto"/>
          <w:sz w:val="21"/>
          <w:szCs w:val="21"/>
        </w:rPr>
        <w:t>．</w:t>
      </w:r>
      <w:r>
        <w:rPr>
          <w:rFonts w:hint="eastAsia"/>
          <w:color w:val="auto"/>
          <w:sz w:val="21"/>
          <w:szCs w:val="21"/>
        </w:rPr>
        <w:t>本技术规格是对要求提供的产品的最低限度的技术要求，并未对一切技术细节做出规定，也未充分引述有关标准和规范的条文，投标人应保证提供符合本技术规格和有关标准要求的优质产品。</w:t>
      </w:r>
    </w:p>
    <w:p w14:paraId="66AEBB07">
      <w:pPr>
        <w:spacing w:line="480" w:lineRule="auto"/>
        <w:ind w:firstLine="420" w:firstLineChars="200"/>
        <w:outlineLvl w:val="1"/>
        <w:rPr>
          <w:rFonts w:eastAsia="黑体"/>
          <w:color w:val="auto"/>
          <w:sz w:val="21"/>
          <w:szCs w:val="21"/>
        </w:rPr>
      </w:pPr>
      <w:r>
        <w:rPr>
          <w:rFonts w:hint="eastAsia" w:eastAsia="黑体"/>
          <w:color w:val="auto"/>
          <w:sz w:val="21"/>
          <w:szCs w:val="21"/>
        </w:rPr>
        <w:t>六</w:t>
      </w:r>
      <w:r>
        <w:rPr>
          <w:rFonts w:eastAsia="黑体"/>
          <w:color w:val="auto"/>
          <w:sz w:val="21"/>
          <w:szCs w:val="21"/>
        </w:rPr>
        <w:t>、</w:t>
      </w:r>
      <w:r>
        <w:rPr>
          <w:rFonts w:hint="eastAsia" w:eastAsia="黑体"/>
          <w:bCs/>
          <w:color w:val="auto"/>
          <w:sz w:val="21"/>
          <w:szCs w:val="21"/>
        </w:rPr>
        <w:t>产品技术标准和规范</w:t>
      </w:r>
    </w:p>
    <w:p w14:paraId="5849D694">
      <w:pPr>
        <w:ind w:firstLine="420" w:firstLineChars="200"/>
        <w:rPr>
          <w:color w:val="auto"/>
          <w:sz w:val="21"/>
          <w:szCs w:val="21"/>
        </w:rPr>
      </w:pPr>
      <w:r>
        <w:rPr>
          <w:rFonts w:hint="eastAsia"/>
          <w:color w:val="auto"/>
          <w:sz w:val="21"/>
          <w:szCs w:val="21"/>
        </w:rPr>
        <w:t>防雷设备的</w:t>
      </w:r>
      <w:r>
        <w:rPr>
          <w:color w:val="auto"/>
          <w:sz w:val="21"/>
          <w:szCs w:val="21"/>
        </w:rPr>
        <w:t>制造和测试，以及使用的材料，均</w:t>
      </w:r>
      <w:r>
        <w:rPr>
          <w:rFonts w:hint="eastAsia"/>
          <w:color w:val="auto"/>
          <w:sz w:val="21"/>
          <w:szCs w:val="21"/>
        </w:rPr>
        <w:t>应满足</w:t>
      </w:r>
      <w:r>
        <w:rPr>
          <w:color w:val="auto"/>
          <w:sz w:val="21"/>
          <w:szCs w:val="21"/>
        </w:rPr>
        <w:t>如下标准</w:t>
      </w:r>
      <w:r>
        <w:rPr>
          <w:rFonts w:hint="eastAsia"/>
          <w:color w:val="auto"/>
          <w:sz w:val="21"/>
          <w:szCs w:val="21"/>
        </w:rPr>
        <w:t>要求</w:t>
      </w:r>
      <w:r>
        <w:rPr>
          <w:color w:val="auto"/>
          <w:sz w:val="21"/>
          <w:szCs w:val="21"/>
        </w:rPr>
        <w:t>（包括但不限于以下资料）。</w:t>
      </w:r>
      <w:r>
        <w:rPr>
          <w:rFonts w:hint="eastAsia"/>
          <w:color w:val="auto"/>
          <w:sz w:val="21"/>
          <w:szCs w:val="21"/>
        </w:rPr>
        <w:t>不同技术文件对同一条技术要求存在偏差时，以最近发布的文件为准。</w:t>
      </w:r>
    </w:p>
    <w:p w14:paraId="23B9E035">
      <w:pPr>
        <w:ind w:firstLine="420" w:firstLineChars="200"/>
        <w:rPr>
          <w:color w:val="auto"/>
          <w:sz w:val="21"/>
          <w:szCs w:val="21"/>
        </w:rPr>
      </w:pPr>
      <w:r>
        <w:rPr>
          <w:rFonts w:hint="eastAsia"/>
          <w:color w:val="auto"/>
          <w:sz w:val="21"/>
          <w:szCs w:val="21"/>
        </w:rPr>
        <w:t>《建筑物防雷设计规范》（GB 50057-2010）</w:t>
      </w:r>
    </w:p>
    <w:p w14:paraId="2CDB0F12">
      <w:pPr>
        <w:ind w:firstLine="420" w:firstLineChars="200"/>
        <w:rPr>
          <w:color w:val="auto"/>
          <w:sz w:val="21"/>
          <w:szCs w:val="21"/>
        </w:rPr>
      </w:pPr>
      <w:r>
        <w:rPr>
          <w:rFonts w:hint="eastAsia"/>
          <w:color w:val="auto"/>
          <w:sz w:val="21"/>
          <w:szCs w:val="21"/>
        </w:rPr>
        <w:t>《建筑物电子信息系统防雷技术规范》（GB 50343-2012）</w:t>
      </w:r>
    </w:p>
    <w:p w14:paraId="6ADDF9C2">
      <w:pPr>
        <w:ind w:firstLine="420" w:firstLineChars="200"/>
        <w:rPr>
          <w:color w:val="auto"/>
          <w:sz w:val="21"/>
          <w:szCs w:val="21"/>
        </w:rPr>
      </w:pPr>
      <w:r>
        <w:rPr>
          <w:rFonts w:hint="eastAsia"/>
          <w:color w:val="auto"/>
          <w:sz w:val="21"/>
          <w:szCs w:val="21"/>
        </w:rPr>
        <w:t>《铁路防雷及接地工程技术规范》（TB 10180-2016）</w:t>
      </w:r>
    </w:p>
    <w:p w14:paraId="60C3679C">
      <w:pPr>
        <w:ind w:firstLine="420" w:firstLineChars="200"/>
        <w:rPr>
          <w:color w:val="auto"/>
          <w:sz w:val="21"/>
          <w:szCs w:val="21"/>
        </w:rPr>
      </w:pPr>
      <w:r>
        <w:rPr>
          <w:rFonts w:hint="eastAsia"/>
          <w:color w:val="auto"/>
          <w:sz w:val="21"/>
          <w:szCs w:val="21"/>
        </w:rPr>
        <w:t>《铁路信号设备雷电电磁脉冲防护技术条件》（TB/T 3074-2017）</w:t>
      </w:r>
    </w:p>
    <w:p w14:paraId="436AA74F">
      <w:pPr>
        <w:ind w:firstLine="420" w:firstLineChars="200"/>
        <w:rPr>
          <w:color w:val="auto"/>
          <w:sz w:val="21"/>
          <w:szCs w:val="21"/>
        </w:rPr>
      </w:pPr>
      <w:r>
        <w:rPr>
          <w:rFonts w:hint="eastAsia"/>
          <w:color w:val="auto"/>
          <w:sz w:val="21"/>
          <w:szCs w:val="21"/>
        </w:rPr>
        <w:t>《铁路通信、信号、电力电子系统防雷设备》（TB/T 2311-2017）</w:t>
      </w:r>
    </w:p>
    <w:p w14:paraId="6DA16128">
      <w:pPr>
        <w:ind w:firstLine="420" w:firstLineChars="200"/>
        <w:rPr>
          <w:color w:val="auto"/>
          <w:sz w:val="21"/>
          <w:szCs w:val="21"/>
        </w:rPr>
      </w:pPr>
      <w:r>
        <w:rPr>
          <w:rFonts w:hint="eastAsia"/>
          <w:color w:val="auto"/>
          <w:sz w:val="21"/>
          <w:szCs w:val="21"/>
        </w:rPr>
        <w:t>《铁路信号防雷分线柜》（Q/CR 652-2018）</w:t>
      </w:r>
    </w:p>
    <w:p w14:paraId="6319251A">
      <w:pPr>
        <w:ind w:firstLine="420" w:firstLineChars="200"/>
        <w:rPr>
          <w:color w:val="auto"/>
          <w:sz w:val="21"/>
          <w:szCs w:val="21"/>
        </w:rPr>
      </w:pPr>
      <w:r>
        <w:rPr>
          <w:rFonts w:hint="eastAsia"/>
          <w:color w:val="auto"/>
          <w:sz w:val="21"/>
          <w:szCs w:val="21"/>
        </w:rPr>
        <w:t>《普速铁路信号维护规则》（铁总运〔2015〕238号）</w:t>
      </w:r>
    </w:p>
    <w:p w14:paraId="56B15419">
      <w:pPr>
        <w:ind w:firstLine="420" w:firstLineChars="200"/>
        <w:rPr>
          <w:color w:val="auto"/>
          <w:sz w:val="21"/>
          <w:szCs w:val="21"/>
        </w:rPr>
      </w:pPr>
      <w:r>
        <w:rPr>
          <w:rFonts w:hint="eastAsia"/>
          <w:color w:val="auto"/>
          <w:sz w:val="21"/>
          <w:szCs w:val="21"/>
        </w:rPr>
        <w:t>《铁路信号设备雷电及电磁兼容综合防护实施指导意见》（铁运〔2006〕26号）</w:t>
      </w:r>
    </w:p>
    <w:p w14:paraId="6BF4345F">
      <w:pPr>
        <w:ind w:firstLine="420" w:firstLineChars="200"/>
        <w:rPr>
          <w:color w:val="auto"/>
          <w:sz w:val="21"/>
          <w:szCs w:val="21"/>
        </w:rPr>
      </w:pPr>
      <w:r>
        <w:rPr>
          <w:rFonts w:hint="eastAsia"/>
          <w:color w:val="auto"/>
          <w:sz w:val="21"/>
          <w:szCs w:val="21"/>
        </w:rPr>
        <w:t>《关于对铁路信号设备雷电及电磁兼容综合防护进行补充规定的通知》（运基信号〔2008〕362号）</w:t>
      </w:r>
    </w:p>
    <w:p w14:paraId="128A12EE">
      <w:pPr>
        <w:spacing w:line="480" w:lineRule="auto"/>
        <w:ind w:firstLine="420" w:firstLineChars="200"/>
        <w:outlineLvl w:val="1"/>
        <w:rPr>
          <w:rFonts w:eastAsia="黑体"/>
          <w:color w:val="auto"/>
          <w:sz w:val="21"/>
          <w:szCs w:val="21"/>
        </w:rPr>
      </w:pPr>
      <w:r>
        <w:rPr>
          <w:rFonts w:hint="eastAsia" w:eastAsia="黑体"/>
          <w:color w:val="auto"/>
          <w:sz w:val="21"/>
          <w:szCs w:val="21"/>
        </w:rPr>
        <w:t>★七</w:t>
      </w:r>
      <w:r>
        <w:rPr>
          <w:rFonts w:eastAsia="黑体"/>
          <w:color w:val="auto"/>
          <w:sz w:val="21"/>
          <w:szCs w:val="21"/>
        </w:rPr>
        <w:t>、</w:t>
      </w:r>
      <w:r>
        <w:rPr>
          <w:rFonts w:hint="eastAsia" w:eastAsia="黑体"/>
          <w:bCs/>
          <w:color w:val="auto"/>
          <w:sz w:val="21"/>
          <w:szCs w:val="21"/>
        </w:rPr>
        <w:t>技术要求及技术条件</w:t>
      </w:r>
    </w:p>
    <w:p w14:paraId="5604F606">
      <w:pPr>
        <w:ind w:firstLine="420" w:firstLineChars="200"/>
        <w:rPr>
          <w:rFonts w:ascii="宋体"/>
          <w:color w:val="auto"/>
          <w:sz w:val="21"/>
          <w:szCs w:val="21"/>
        </w:rPr>
      </w:pPr>
      <w:r>
        <w:rPr>
          <w:rFonts w:hint="eastAsia"/>
          <w:color w:val="auto"/>
          <w:sz w:val="21"/>
          <w:szCs w:val="21"/>
        </w:rPr>
        <w:t>1</w:t>
      </w:r>
      <w:r>
        <w:rPr>
          <w:color w:val="auto"/>
          <w:sz w:val="21"/>
          <w:szCs w:val="21"/>
        </w:rPr>
        <w:t>．</w:t>
      </w:r>
      <w:r>
        <w:rPr>
          <w:rFonts w:hint="eastAsia"/>
          <w:color w:val="auto"/>
          <w:sz w:val="21"/>
          <w:szCs w:val="21"/>
        </w:rPr>
        <w:t>本线工程按“年平均雷暴日数”不超过50的中雷区考虑。</w:t>
      </w:r>
    </w:p>
    <w:p w14:paraId="175F1B8D">
      <w:pPr>
        <w:ind w:firstLine="420" w:firstLineChars="200"/>
        <w:rPr>
          <w:color w:val="auto"/>
          <w:sz w:val="21"/>
          <w:szCs w:val="21"/>
        </w:rPr>
      </w:pPr>
      <w:r>
        <w:rPr>
          <w:rFonts w:hint="eastAsia"/>
          <w:color w:val="auto"/>
          <w:sz w:val="21"/>
          <w:szCs w:val="21"/>
        </w:rPr>
        <w:t>2</w:t>
      </w:r>
      <w:r>
        <w:rPr>
          <w:color w:val="auto"/>
          <w:sz w:val="21"/>
          <w:szCs w:val="21"/>
        </w:rPr>
        <w:t>．</w:t>
      </w:r>
      <w:r>
        <w:rPr>
          <w:rFonts w:hint="eastAsia"/>
          <w:color w:val="auto"/>
          <w:sz w:val="21"/>
          <w:szCs w:val="21"/>
        </w:rPr>
        <w:t>防雷设备应在以下环境中可靠工作</w:t>
      </w:r>
    </w:p>
    <w:p w14:paraId="36B09BC2">
      <w:pPr>
        <w:ind w:firstLine="420" w:firstLineChars="200"/>
        <w:rPr>
          <w:color w:val="auto"/>
          <w:sz w:val="21"/>
          <w:szCs w:val="21"/>
        </w:rPr>
      </w:pPr>
      <w:r>
        <w:rPr>
          <w:rFonts w:hint="eastAsia"/>
          <w:color w:val="auto"/>
          <w:sz w:val="21"/>
          <w:szCs w:val="21"/>
        </w:rPr>
        <w:t>① 周围空气温度-40℃～+70℃，受控温度-5℃～+40℃；</w:t>
      </w:r>
    </w:p>
    <w:p w14:paraId="30542969">
      <w:pPr>
        <w:ind w:firstLine="420" w:firstLineChars="200"/>
        <w:rPr>
          <w:color w:val="auto"/>
          <w:sz w:val="21"/>
          <w:szCs w:val="21"/>
        </w:rPr>
      </w:pPr>
      <w:r>
        <w:rPr>
          <w:color w:val="auto"/>
          <w:sz w:val="21"/>
          <w:szCs w:val="21"/>
        </w:rPr>
        <w:fldChar w:fldCharType="begin"/>
      </w:r>
      <w:r>
        <w:rPr>
          <w:color w:val="auto"/>
          <w:sz w:val="21"/>
          <w:szCs w:val="21"/>
        </w:rPr>
        <w:instrText xml:space="preserve"> = 2 \* GB3 \* MERGEFORMAT </w:instrText>
      </w:r>
      <w:r>
        <w:rPr>
          <w:color w:val="auto"/>
          <w:sz w:val="21"/>
          <w:szCs w:val="21"/>
        </w:rPr>
        <w:fldChar w:fldCharType="separate"/>
      </w:r>
      <w:r>
        <w:rPr>
          <w:rFonts w:hint="eastAsia"/>
          <w:color w:val="auto"/>
          <w:sz w:val="21"/>
          <w:szCs w:val="21"/>
        </w:rPr>
        <w:t>②</w:t>
      </w:r>
      <w:r>
        <w:rPr>
          <w:color w:val="auto"/>
          <w:sz w:val="21"/>
          <w:szCs w:val="21"/>
        </w:rPr>
        <w:fldChar w:fldCharType="end"/>
      </w:r>
      <w:r>
        <w:rPr>
          <w:rFonts w:hint="eastAsia"/>
          <w:color w:val="auto"/>
          <w:sz w:val="21"/>
          <w:szCs w:val="21"/>
        </w:rPr>
        <w:t xml:space="preserve"> 相对湿度10%～80%，受控环境相对湿度5%～96%；</w:t>
      </w:r>
    </w:p>
    <w:p w14:paraId="27C56302">
      <w:pPr>
        <w:ind w:firstLine="420" w:firstLineChars="200"/>
        <w:rPr>
          <w:color w:val="auto"/>
          <w:sz w:val="21"/>
          <w:szCs w:val="21"/>
        </w:rPr>
      </w:pPr>
      <w:r>
        <w:rPr>
          <w:color w:val="auto"/>
          <w:sz w:val="21"/>
          <w:szCs w:val="21"/>
        </w:rPr>
        <w:fldChar w:fldCharType="begin"/>
      </w:r>
      <w:r>
        <w:rPr>
          <w:color w:val="auto"/>
          <w:sz w:val="21"/>
          <w:szCs w:val="21"/>
        </w:rPr>
        <w:instrText xml:space="preserve"> = 3 \* GB3 \* MERGEFORMAT </w:instrText>
      </w:r>
      <w:r>
        <w:rPr>
          <w:color w:val="auto"/>
          <w:sz w:val="21"/>
          <w:szCs w:val="21"/>
        </w:rPr>
        <w:fldChar w:fldCharType="separate"/>
      </w:r>
      <w:r>
        <w:rPr>
          <w:rFonts w:hint="eastAsia"/>
          <w:color w:val="auto"/>
          <w:sz w:val="21"/>
          <w:szCs w:val="21"/>
        </w:rPr>
        <w:t>③</w:t>
      </w:r>
      <w:r>
        <w:rPr>
          <w:color w:val="auto"/>
          <w:sz w:val="21"/>
          <w:szCs w:val="21"/>
        </w:rPr>
        <w:fldChar w:fldCharType="end"/>
      </w:r>
      <w:r>
        <w:rPr>
          <w:rFonts w:hint="eastAsia"/>
          <w:color w:val="auto"/>
          <w:sz w:val="21"/>
          <w:szCs w:val="21"/>
        </w:rPr>
        <w:t xml:space="preserve"> 大气压力不低于70.1kPa（海拔高度不超过3000m）。</w:t>
      </w:r>
    </w:p>
    <w:p w14:paraId="5A74109A">
      <w:pPr>
        <w:ind w:firstLine="420" w:firstLineChars="200"/>
        <w:rPr>
          <w:color w:val="auto"/>
          <w:sz w:val="21"/>
          <w:szCs w:val="21"/>
        </w:rPr>
      </w:pPr>
      <w:r>
        <w:rPr>
          <w:rFonts w:hint="eastAsia"/>
          <w:color w:val="auto"/>
          <w:sz w:val="21"/>
          <w:szCs w:val="21"/>
        </w:rPr>
        <w:t>3</w:t>
      </w:r>
      <w:r>
        <w:rPr>
          <w:color w:val="auto"/>
          <w:sz w:val="21"/>
          <w:szCs w:val="21"/>
        </w:rPr>
        <w:t>．</w:t>
      </w:r>
      <w:r>
        <w:rPr>
          <w:rFonts w:hint="eastAsia"/>
          <w:color w:val="auto"/>
          <w:sz w:val="21"/>
          <w:szCs w:val="21"/>
        </w:rPr>
        <w:t>防雷系统不得影响信号设备的正常工作，系统设计应符合有关设计规范、技术条件的有关规定。</w:t>
      </w:r>
    </w:p>
    <w:p w14:paraId="31ADCBB9">
      <w:pPr>
        <w:ind w:firstLine="420" w:firstLineChars="200"/>
        <w:rPr>
          <w:color w:val="auto"/>
          <w:sz w:val="21"/>
          <w:szCs w:val="21"/>
        </w:rPr>
      </w:pPr>
      <w:r>
        <w:rPr>
          <w:rFonts w:hint="eastAsia"/>
          <w:color w:val="auto"/>
          <w:sz w:val="21"/>
          <w:szCs w:val="21"/>
        </w:rPr>
        <w:t>4</w:t>
      </w:r>
      <w:r>
        <w:rPr>
          <w:color w:val="auto"/>
          <w:sz w:val="21"/>
          <w:szCs w:val="21"/>
        </w:rPr>
        <w:t>．</w:t>
      </w:r>
      <w:r>
        <w:rPr>
          <w:rFonts w:hint="eastAsia"/>
          <w:color w:val="auto"/>
          <w:sz w:val="21"/>
          <w:szCs w:val="21"/>
        </w:rPr>
        <w:t>按照分区、分级、分设备防护和纵向、横向或纵横向防护的需要合理选用</w:t>
      </w:r>
      <w:r>
        <w:rPr>
          <w:color w:val="auto"/>
          <w:sz w:val="21"/>
          <w:szCs w:val="21"/>
        </w:rPr>
        <w:t>防雷保安器</w:t>
      </w:r>
      <w:r>
        <w:rPr>
          <w:rFonts w:hint="eastAsia"/>
          <w:color w:val="auto"/>
          <w:sz w:val="21"/>
          <w:szCs w:val="21"/>
        </w:rPr>
        <w:t>。既要求有防直击雷的措施，也要有防电磁感应过电压的措施。</w:t>
      </w:r>
    </w:p>
    <w:p w14:paraId="736D41A2">
      <w:pPr>
        <w:ind w:firstLine="420" w:firstLineChars="200"/>
        <w:rPr>
          <w:color w:val="auto"/>
          <w:sz w:val="21"/>
          <w:szCs w:val="21"/>
        </w:rPr>
      </w:pPr>
      <w:r>
        <w:rPr>
          <w:rFonts w:hint="eastAsia"/>
          <w:color w:val="auto"/>
          <w:sz w:val="21"/>
          <w:szCs w:val="21"/>
        </w:rPr>
        <w:t>5</w:t>
      </w:r>
      <w:r>
        <w:rPr>
          <w:color w:val="auto"/>
          <w:sz w:val="21"/>
          <w:szCs w:val="21"/>
        </w:rPr>
        <w:t>．</w:t>
      </w:r>
      <w:r>
        <w:rPr>
          <w:rFonts w:hint="eastAsia"/>
          <w:color w:val="auto"/>
          <w:sz w:val="21"/>
          <w:szCs w:val="21"/>
        </w:rPr>
        <w:t>防雷元器件须符合TB/T 2311-2017的标准，并满足故障倒向安全的原则，当防雷保安器处于劣化或损坏状态时，须立即自动脱离电路且不得影响设备正常工作。</w:t>
      </w:r>
    </w:p>
    <w:p w14:paraId="417BE45B">
      <w:pPr>
        <w:ind w:firstLine="420" w:firstLineChars="200"/>
        <w:rPr>
          <w:color w:val="auto"/>
          <w:sz w:val="21"/>
          <w:szCs w:val="21"/>
        </w:rPr>
      </w:pPr>
      <w:r>
        <w:rPr>
          <w:rFonts w:hint="eastAsia"/>
          <w:color w:val="auto"/>
          <w:sz w:val="21"/>
          <w:szCs w:val="21"/>
        </w:rPr>
        <w:t>★① 防雷保安器并联应用时，在任何情况下不得成为短路状态；串联应用时，在任何情况下不得成为开路状态。</w:t>
      </w:r>
    </w:p>
    <w:p w14:paraId="48F43E51">
      <w:pPr>
        <w:ind w:firstLine="420" w:firstLineChars="200"/>
        <w:rPr>
          <w:color w:val="auto"/>
          <w:sz w:val="21"/>
          <w:szCs w:val="21"/>
        </w:rPr>
      </w:pPr>
      <w:r>
        <w:rPr>
          <w:rFonts w:hint="eastAsia"/>
          <w:color w:val="auto"/>
          <w:sz w:val="21"/>
          <w:szCs w:val="21"/>
        </w:rPr>
        <w:t>★</w:t>
      </w:r>
      <w:r>
        <w:rPr>
          <w:color w:val="auto"/>
          <w:sz w:val="21"/>
          <w:szCs w:val="21"/>
        </w:rPr>
        <w:fldChar w:fldCharType="begin"/>
      </w:r>
      <w:r>
        <w:rPr>
          <w:color w:val="auto"/>
          <w:sz w:val="21"/>
          <w:szCs w:val="21"/>
        </w:rPr>
        <w:instrText xml:space="preserve"> = 2 \* GB3 \* MERGEFORMAT </w:instrText>
      </w:r>
      <w:r>
        <w:rPr>
          <w:color w:val="auto"/>
          <w:sz w:val="21"/>
          <w:szCs w:val="21"/>
        </w:rPr>
        <w:fldChar w:fldCharType="separate"/>
      </w:r>
      <w:r>
        <w:rPr>
          <w:rFonts w:hint="eastAsia"/>
          <w:color w:val="auto"/>
          <w:sz w:val="21"/>
          <w:szCs w:val="21"/>
        </w:rPr>
        <w:t>②</w:t>
      </w:r>
      <w:r>
        <w:rPr>
          <w:color w:val="auto"/>
          <w:sz w:val="21"/>
          <w:szCs w:val="21"/>
        </w:rPr>
        <w:fldChar w:fldCharType="end"/>
      </w:r>
      <w:r>
        <w:rPr>
          <w:rFonts w:hint="eastAsia"/>
          <w:color w:val="auto"/>
          <w:sz w:val="21"/>
          <w:szCs w:val="21"/>
        </w:rPr>
        <w:t xml:space="preserve"> 防雷保安器对地有连接的，除了放电状态，其他时间不得构成导通状态；否则必须辅以接地检测报警装置。</w:t>
      </w:r>
    </w:p>
    <w:p w14:paraId="5D07794C">
      <w:pPr>
        <w:ind w:firstLine="420" w:firstLineChars="200"/>
        <w:rPr>
          <w:color w:val="auto"/>
          <w:sz w:val="21"/>
          <w:szCs w:val="21"/>
        </w:rPr>
      </w:pPr>
      <w:r>
        <w:rPr>
          <w:rFonts w:hint="eastAsia"/>
          <w:color w:val="auto"/>
          <w:sz w:val="21"/>
          <w:szCs w:val="21"/>
        </w:rPr>
        <w:t>6</w:t>
      </w:r>
      <w:r>
        <w:rPr>
          <w:color w:val="auto"/>
          <w:sz w:val="21"/>
          <w:szCs w:val="21"/>
        </w:rPr>
        <w:t>．</w:t>
      </w:r>
      <w:r>
        <w:rPr>
          <w:rFonts w:hint="eastAsia"/>
          <w:color w:val="auto"/>
          <w:sz w:val="21"/>
          <w:szCs w:val="21"/>
        </w:rPr>
        <w:t>用于电源电路的防雷保安器，应单独设置；必须具有阻断续流的性能；安装在分线盘（柜）处、电源防雷箱内及工作电压在110V以上的</w:t>
      </w:r>
      <w:r>
        <w:rPr>
          <w:color w:val="auto"/>
          <w:sz w:val="21"/>
          <w:szCs w:val="21"/>
        </w:rPr>
        <w:t>防雷保安器</w:t>
      </w:r>
      <w:r>
        <w:rPr>
          <w:rFonts w:hint="eastAsia"/>
          <w:color w:val="auto"/>
          <w:sz w:val="21"/>
          <w:szCs w:val="21"/>
        </w:rPr>
        <w:t>应有劣化指示。</w:t>
      </w:r>
    </w:p>
    <w:p w14:paraId="02C54A94">
      <w:pPr>
        <w:ind w:firstLine="420" w:firstLineChars="200"/>
        <w:rPr>
          <w:color w:val="auto"/>
          <w:sz w:val="21"/>
          <w:szCs w:val="21"/>
        </w:rPr>
      </w:pPr>
      <w:r>
        <w:rPr>
          <w:rFonts w:hint="eastAsia"/>
          <w:color w:val="auto"/>
          <w:sz w:val="21"/>
          <w:szCs w:val="21"/>
        </w:rPr>
        <w:t>7</w:t>
      </w:r>
      <w:r>
        <w:rPr>
          <w:color w:val="auto"/>
          <w:sz w:val="21"/>
          <w:szCs w:val="21"/>
        </w:rPr>
        <w:t>．</w:t>
      </w:r>
      <w:r>
        <w:rPr>
          <w:rFonts w:hint="eastAsia"/>
          <w:color w:val="auto"/>
          <w:sz w:val="21"/>
          <w:szCs w:val="21"/>
        </w:rPr>
        <w:t>凡属于独立防雷电路上的防雷保安器，应统一编号管理，并具有例行检测记录；其安装应便于日常维护检测。</w:t>
      </w:r>
    </w:p>
    <w:p w14:paraId="65CACDCE">
      <w:pPr>
        <w:ind w:firstLine="420" w:firstLineChars="200"/>
        <w:rPr>
          <w:color w:val="auto"/>
          <w:sz w:val="21"/>
          <w:szCs w:val="21"/>
        </w:rPr>
      </w:pPr>
      <w:r>
        <w:rPr>
          <w:rFonts w:hint="eastAsia"/>
          <w:color w:val="auto"/>
          <w:sz w:val="21"/>
          <w:szCs w:val="21"/>
        </w:rPr>
        <w:t>8</w:t>
      </w:r>
      <w:r>
        <w:rPr>
          <w:color w:val="auto"/>
          <w:sz w:val="21"/>
          <w:szCs w:val="21"/>
        </w:rPr>
        <w:t>．</w:t>
      </w:r>
      <w:r>
        <w:rPr>
          <w:rFonts w:hint="eastAsia"/>
          <w:color w:val="auto"/>
          <w:sz w:val="21"/>
          <w:szCs w:val="21"/>
        </w:rPr>
        <w:t>并联应用的防雷保安器应能实现热插拔，信号传输线的防雷保安器应实现即插即用。</w:t>
      </w:r>
    </w:p>
    <w:p w14:paraId="304640F7">
      <w:pPr>
        <w:ind w:firstLine="420" w:firstLineChars="200"/>
        <w:rPr>
          <w:color w:val="auto"/>
          <w:sz w:val="21"/>
          <w:szCs w:val="21"/>
        </w:rPr>
      </w:pPr>
      <w:r>
        <w:rPr>
          <w:rFonts w:hint="eastAsia"/>
          <w:color w:val="auto"/>
          <w:sz w:val="21"/>
          <w:szCs w:val="21"/>
        </w:rPr>
        <w:t>9</w:t>
      </w:r>
      <w:r>
        <w:rPr>
          <w:color w:val="auto"/>
          <w:sz w:val="21"/>
          <w:szCs w:val="21"/>
        </w:rPr>
        <w:t>．</w:t>
      </w:r>
      <w:r>
        <w:rPr>
          <w:rFonts w:hint="eastAsia"/>
          <w:color w:val="auto"/>
          <w:sz w:val="21"/>
          <w:szCs w:val="21"/>
        </w:rPr>
        <w:t>按照分区分级的原则，信号传输线的防雷保安器应集中设置在防雷分线柜中。</w:t>
      </w:r>
    </w:p>
    <w:p w14:paraId="12370825">
      <w:pPr>
        <w:ind w:firstLine="420" w:firstLineChars="200"/>
        <w:rPr>
          <w:color w:val="auto"/>
          <w:sz w:val="21"/>
          <w:szCs w:val="21"/>
        </w:rPr>
      </w:pPr>
      <w:r>
        <w:rPr>
          <w:rFonts w:hint="eastAsia"/>
          <w:color w:val="auto"/>
          <w:sz w:val="21"/>
          <w:szCs w:val="21"/>
        </w:rPr>
        <w:t>10</w:t>
      </w:r>
      <w:r>
        <w:rPr>
          <w:color w:val="auto"/>
          <w:sz w:val="21"/>
          <w:szCs w:val="21"/>
        </w:rPr>
        <w:t>．</w:t>
      </w:r>
      <w:r>
        <w:rPr>
          <w:rFonts w:hint="eastAsia"/>
          <w:color w:val="auto"/>
          <w:sz w:val="21"/>
          <w:szCs w:val="21"/>
        </w:rPr>
        <w:t>设备本身已加装防雷保安器，且其抗扰度已达到TB/T 3074-2017第九章规定的试验等级为4级或X级的，可不设置防雷保安器。</w:t>
      </w:r>
    </w:p>
    <w:p w14:paraId="644020B2">
      <w:pPr>
        <w:ind w:firstLine="420" w:firstLineChars="200"/>
        <w:rPr>
          <w:color w:val="auto"/>
          <w:sz w:val="21"/>
          <w:szCs w:val="21"/>
        </w:rPr>
      </w:pPr>
      <w:r>
        <w:rPr>
          <w:rFonts w:hint="eastAsia"/>
          <w:color w:val="auto"/>
          <w:sz w:val="21"/>
          <w:szCs w:val="21"/>
        </w:rPr>
        <w:t>11</w:t>
      </w:r>
      <w:r>
        <w:rPr>
          <w:color w:val="auto"/>
          <w:sz w:val="21"/>
          <w:szCs w:val="21"/>
        </w:rPr>
        <w:t>．</w:t>
      </w:r>
      <w:r>
        <w:rPr>
          <w:rFonts w:hint="eastAsia"/>
          <w:color w:val="auto"/>
          <w:sz w:val="21"/>
          <w:szCs w:val="21"/>
        </w:rPr>
        <w:t>防雷保安器安装应牢固可靠，便于维护和测试。在测试各种电缆芯线绝缘电阻时有简单易行的断开信号浪涌保护器（SPD）的措施，防止SPD 错误动作。SPD连接线应短而直,不能弯曲和盘绕,并采用凯文接线方式。SPD应具有可靠的脱钩装置和失效窗口指示，故障后必须成开路状态并能有效防止起火。</w:t>
      </w:r>
    </w:p>
    <w:p w14:paraId="0B3341C8">
      <w:pPr>
        <w:ind w:firstLine="420" w:firstLineChars="200"/>
        <w:rPr>
          <w:color w:val="auto"/>
          <w:sz w:val="21"/>
          <w:szCs w:val="21"/>
        </w:rPr>
      </w:pPr>
      <w:r>
        <w:rPr>
          <w:rFonts w:hint="eastAsia"/>
          <w:color w:val="auto"/>
          <w:sz w:val="21"/>
          <w:szCs w:val="21"/>
        </w:rPr>
        <w:t>12</w:t>
      </w:r>
      <w:r>
        <w:rPr>
          <w:color w:val="auto"/>
          <w:sz w:val="21"/>
          <w:szCs w:val="21"/>
        </w:rPr>
        <w:t>．</w:t>
      </w:r>
      <w:r>
        <w:rPr>
          <w:rFonts w:hint="eastAsia"/>
          <w:color w:val="auto"/>
          <w:sz w:val="21"/>
          <w:szCs w:val="21"/>
        </w:rPr>
        <w:t>防雷分线柜需设置8层以上的组合，每个防雷分线组合至少可容纳13块6柱端子（即防雷分线柜的总容量不得低于624线信号传输）。防雷分线柜的技术条件满足《铁路信号防雷分线柜》（Q/CR 652-2018）的有关要求。</w:t>
      </w:r>
    </w:p>
    <w:p w14:paraId="486F4576">
      <w:pPr>
        <w:ind w:firstLine="420" w:firstLineChars="200"/>
        <w:rPr>
          <w:color w:val="auto"/>
          <w:sz w:val="21"/>
          <w:szCs w:val="21"/>
        </w:rPr>
      </w:pPr>
      <w:r>
        <w:rPr>
          <w:rFonts w:hint="eastAsia"/>
          <w:color w:val="auto"/>
          <w:sz w:val="21"/>
          <w:szCs w:val="21"/>
        </w:rPr>
        <w:t>13</w:t>
      </w:r>
      <w:r>
        <w:rPr>
          <w:color w:val="auto"/>
          <w:sz w:val="21"/>
          <w:szCs w:val="21"/>
        </w:rPr>
        <w:t>．</w:t>
      </w:r>
      <w:r>
        <w:rPr>
          <w:rFonts w:hint="eastAsia"/>
          <w:color w:val="auto"/>
          <w:sz w:val="21"/>
          <w:szCs w:val="21"/>
        </w:rPr>
        <w:t>电源防雷箱</w:t>
      </w:r>
    </w:p>
    <w:p w14:paraId="6FC8955C">
      <w:pPr>
        <w:ind w:firstLine="420" w:firstLineChars="200"/>
        <w:rPr>
          <w:color w:val="auto"/>
          <w:sz w:val="21"/>
          <w:szCs w:val="21"/>
        </w:rPr>
      </w:pPr>
      <w:r>
        <w:rPr>
          <w:rFonts w:hint="eastAsia"/>
          <w:color w:val="auto"/>
          <w:sz w:val="21"/>
          <w:szCs w:val="21"/>
        </w:rPr>
        <w:t>1）外电网引入机房建筑物应采用多级雷电防护。第Ⅰ级设在户外交流电源馈线引入处（配电盘）（电力部门未做雷电防护时，第Ⅰ级设在电力开关箱后）；第Ⅱ级设在电源屏电源引入侧；第Ⅲ级设在微电子设备（指计算机终端电源稳压器或UPS电源前）。室内信号设备的电源馈线在室内外分界处即LPZ0区和LPZ1区的界面已由电力专业设有第一级电源防护，本次工程不需再考虑信号设备电源馈线的第一级电源防护。</w:t>
      </w:r>
    </w:p>
    <w:p w14:paraId="7D16CDEC">
      <w:pPr>
        <w:ind w:firstLine="420" w:firstLineChars="200"/>
        <w:rPr>
          <w:color w:val="auto"/>
          <w:sz w:val="21"/>
          <w:szCs w:val="21"/>
        </w:rPr>
      </w:pPr>
      <w:r>
        <w:rPr>
          <w:rFonts w:hint="eastAsia"/>
          <w:color w:val="auto"/>
          <w:sz w:val="21"/>
          <w:szCs w:val="21"/>
        </w:rPr>
        <w:t>2）电源防雷应采用信号电源防雷箱方式，信号防雷箱设置地点应符合防火要求。</w:t>
      </w:r>
    </w:p>
    <w:p w14:paraId="6EE6DF53">
      <w:pPr>
        <w:ind w:firstLine="420" w:firstLineChars="200"/>
        <w:rPr>
          <w:color w:val="auto"/>
          <w:sz w:val="21"/>
          <w:szCs w:val="21"/>
        </w:rPr>
      </w:pPr>
      <w:r>
        <w:rPr>
          <w:rFonts w:hint="eastAsia"/>
          <w:color w:val="auto"/>
          <w:sz w:val="21"/>
          <w:szCs w:val="21"/>
        </w:rPr>
        <w:t>3）本线信号电源采用TN-S系统，要求采用L（相线）—L、L—PE（保护地线）和N（中性线）—PE全模防护的并联三相电源防雷箱。</w:t>
      </w:r>
    </w:p>
    <w:p w14:paraId="2A127874">
      <w:pPr>
        <w:ind w:firstLine="420" w:firstLineChars="200"/>
        <w:rPr>
          <w:color w:val="auto"/>
          <w:sz w:val="21"/>
          <w:szCs w:val="21"/>
        </w:rPr>
      </w:pPr>
      <w:r>
        <w:rPr>
          <w:rFonts w:hint="eastAsia"/>
          <w:color w:val="auto"/>
          <w:sz w:val="21"/>
          <w:szCs w:val="21"/>
        </w:rPr>
        <w:t>4）室内电源防雷保安器应按表1选取冲击通流容量和限制电压。</w:t>
      </w:r>
    </w:p>
    <w:p w14:paraId="21A3B303">
      <w:pPr>
        <w:jc w:val="center"/>
        <w:rPr>
          <w:color w:val="auto"/>
          <w:sz w:val="21"/>
          <w:szCs w:val="21"/>
        </w:rPr>
      </w:pPr>
      <w:r>
        <w:rPr>
          <w:rFonts w:hint="eastAsia"/>
          <w:color w:val="auto"/>
          <w:sz w:val="21"/>
          <w:szCs w:val="21"/>
        </w:rPr>
        <w:t>表1</w:t>
      </w:r>
      <w:r>
        <w:rPr>
          <w:color w:val="auto"/>
          <w:sz w:val="21"/>
          <w:szCs w:val="21"/>
        </w:rPr>
        <w:t xml:space="preserve"> </w:t>
      </w:r>
      <w:r>
        <w:rPr>
          <w:rFonts w:hint="eastAsia"/>
          <w:color w:val="auto"/>
          <w:sz w:val="21"/>
          <w:szCs w:val="21"/>
        </w:rPr>
        <w:t xml:space="preserve"> 信号设备机房的电源防雷保安器冲击通流容量和限制电压表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1065"/>
        <w:gridCol w:w="1260"/>
        <w:gridCol w:w="1080"/>
        <w:gridCol w:w="1095"/>
        <w:gridCol w:w="1080"/>
        <w:gridCol w:w="1260"/>
        <w:gridCol w:w="1065"/>
      </w:tblGrid>
      <w:tr w14:paraId="21CC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6855" w:type="dxa"/>
            <w:gridSpan w:val="6"/>
          </w:tcPr>
          <w:p w14:paraId="20174EC3">
            <w:pPr>
              <w:spacing w:line="240" w:lineRule="auto"/>
              <w:rPr>
                <w:color w:val="auto"/>
                <w:sz w:val="21"/>
                <w:szCs w:val="21"/>
              </w:rPr>
            </w:pPr>
            <w:r>
              <w:rPr>
                <w:color w:val="auto"/>
                <w:sz w:val="21"/>
                <w:szCs w:val="21"/>
              </w:rPr>
              <w:t>交 流 电 源 防 雷 保 安 器</w:t>
            </w:r>
          </w:p>
        </w:tc>
        <w:tc>
          <w:tcPr>
            <w:tcW w:w="2325" w:type="dxa"/>
            <w:gridSpan w:val="2"/>
            <w:vMerge w:val="restart"/>
            <w:vAlign w:val="center"/>
          </w:tcPr>
          <w:p w14:paraId="39354C0F">
            <w:pPr>
              <w:spacing w:line="240" w:lineRule="auto"/>
              <w:rPr>
                <w:color w:val="auto"/>
                <w:sz w:val="21"/>
                <w:szCs w:val="21"/>
              </w:rPr>
            </w:pPr>
            <w:r>
              <w:rPr>
                <w:color w:val="auto"/>
                <w:sz w:val="21"/>
                <w:szCs w:val="21"/>
              </w:rPr>
              <w:t>直流电源</w:t>
            </w:r>
          </w:p>
          <w:p w14:paraId="4CB39E49">
            <w:pPr>
              <w:spacing w:line="240" w:lineRule="auto"/>
              <w:rPr>
                <w:color w:val="auto"/>
                <w:sz w:val="21"/>
                <w:szCs w:val="21"/>
              </w:rPr>
            </w:pPr>
            <w:r>
              <w:rPr>
                <w:color w:val="auto"/>
                <w:sz w:val="21"/>
                <w:szCs w:val="21"/>
              </w:rPr>
              <w:t>防雷保安器</w:t>
            </w:r>
          </w:p>
        </w:tc>
      </w:tr>
      <w:tr w14:paraId="3A3B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340" w:type="dxa"/>
            <w:gridSpan w:val="2"/>
          </w:tcPr>
          <w:p w14:paraId="318A898B">
            <w:pPr>
              <w:spacing w:line="240" w:lineRule="auto"/>
              <w:rPr>
                <w:color w:val="auto"/>
                <w:sz w:val="21"/>
                <w:szCs w:val="21"/>
              </w:rPr>
            </w:pPr>
            <w:r>
              <w:rPr>
                <w:color w:val="auto"/>
                <w:sz w:val="21"/>
                <w:szCs w:val="21"/>
              </w:rPr>
              <w:t>信号防雷箱（</w:t>
            </w:r>
            <w:r>
              <w:rPr>
                <w:color w:val="auto"/>
                <w:sz w:val="21"/>
                <w:szCs w:val="21"/>
              </w:rPr>
              <w:fldChar w:fldCharType="begin"/>
            </w:r>
            <w:r>
              <w:rPr>
                <w:color w:val="auto"/>
                <w:sz w:val="21"/>
                <w:szCs w:val="21"/>
              </w:rPr>
              <w:instrText xml:space="preserve"> = 1 \* ROMAN </w:instrText>
            </w:r>
            <w:r>
              <w:rPr>
                <w:color w:val="auto"/>
                <w:sz w:val="21"/>
                <w:szCs w:val="21"/>
              </w:rPr>
              <w:fldChar w:fldCharType="separate"/>
            </w:r>
            <w:r>
              <w:rPr>
                <w:color w:val="auto"/>
                <w:sz w:val="21"/>
                <w:szCs w:val="21"/>
              </w:rPr>
              <w:t>I</w:t>
            </w:r>
            <w:r>
              <w:rPr>
                <w:color w:val="auto"/>
                <w:sz w:val="21"/>
                <w:szCs w:val="21"/>
              </w:rPr>
              <w:fldChar w:fldCharType="end"/>
            </w:r>
            <w:r>
              <w:rPr>
                <w:color w:val="auto"/>
                <w:sz w:val="21"/>
                <w:szCs w:val="21"/>
              </w:rPr>
              <w:t>）</w:t>
            </w:r>
          </w:p>
        </w:tc>
        <w:tc>
          <w:tcPr>
            <w:tcW w:w="2340" w:type="dxa"/>
            <w:gridSpan w:val="2"/>
          </w:tcPr>
          <w:p w14:paraId="2ACB67CC">
            <w:pPr>
              <w:spacing w:line="240" w:lineRule="auto"/>
              <w:rPr>
                <w:color w:val="auto"/>
                <w:sz w:val="21"/>
                <w:szCs w:val="21"/>
              </w:rPr>
            </w:pPr>
            <w:r>
              <w:rPr>
                <w:color w:val="auto"/>
                <w:sz w:val="21"/>
                <w:szCs w:val="21"/>
              </w:rPr>
              <w:t>电源屏前（</w:t>
            </w:r>
            <w:r>
              <w:rPr>
                <w:color w:val="auto"/>
                <w:sz w:val="21"/>
                <w:szCs w:val="21"/>
              </w:rPr>
              <w:fldChar w:fldCharType="begin"/>
            </w:r>
            <w:r>
              <w:rPr>
                <w:color w:val="auto"/>
                <w:sz w:val="21"/>
                <w:szCs w:val="21"/>
              </w:rPr>
              <w:instrText xml:space="preserve"> = 2 \* ROMAN </w:instrText>
            </w:r>
            <w:r>
              <w:rPr>
                <w:color w:val="auto"/>
                <w:sz w:val="21"/>
                <w:szCs w:val="21"/>
              </w:rPr>
              <w:fldChar w:fldCharType="separate"/>
            </w:r>
            <w:r>
              <w:rPr>
                <w:color w:val="auto"/>
                <w:sz w:val="21"/>
                <w:szCs w:val="21"/>
              </w:rPr>
              <w:t>II</w:t>
            </w:r>
            <w:r>
              <w:rPr>
                <w:color w:val="auto"/>
                <w:sz w:val="21"/>
                <w:szCs w:val="21"/>
              </w:rPr>
              <w:fldChar w:fldCharType="end"/>
            </w:r>
            <w:r>
              <w:rPr>
                <w:color w:val="auto"/>
                <w:sz w:val="21"/>
                <w:szCs w:val="21"/>
              </w:rPr>
              <w:t>）</w:t>
            </w:r>
          </w:p>
        </w:tc>
        <w:tc>
          <w:tcPr>
            <w:tcW w:w="2175" w:type="dxa"/>
            <w:gridSpan w:val="2"/>
          </w:tcPr>
          <w:p w14:paraId="5859CFD4">
            <w:pPr>
              <w:spacing w:line="240" w:lineRule="auto"/>
              <w:rPr>
                <w:color w:val="auto"/>
                <w:sz w:val="21"/>
                <w:szCs w:val="21"/>
              </w:rPr>
            </w:pPr>
            <w:r>
              <w:rPr>
                <w:color w:val="auto"/>
                <w:sz w:val="21"/>
                <w:szCs w:val="21"/>
              </w:rPr>
              <w:t>微电子设备电源前（</w:t>
            </w:r>
            <w:r>
              <w:rPr>
                <w:color w:val="auto"/>
                <w:sz w:val="21"/>
                <w:szCs w:val="21"/>
              </w:rPr>
              <w:fldChar w:fldCharType="begin"/>
            </w:r>
            <w:r>
              <w:rPr>
                <w:color w:val="auto"/>
                <w:sz w:val="21"/>
                <w:szCs w:val="21"/>
              </w:rPr>
              <w:instrText xml:space="preserve"> = 3 \* ROMAN </w:instrText>
            </w:r>
            <w:r>
              <w:rPr>
                <w:color w:val="auto"/>
                <w:sz w:val="21"/>
                <w:szCs w:val="21"/>
              </w:rPr>
              <w:fldChar w:fldCharType="separate"/>
            </w:r>
            <w:r>
              <w:rPr>
                <w:color w:val="auto"/>
                <w:sz w:val="21"/>
                <w:szCs w:val="21"/>
              </w:rPr>
              <w:t>III</w:t>
            </w:r>
            <w:r>
              <w:rPr>
                <w:color w:val="auto"/>
                <w:sz w:val="21"/>
                <w:szCs w:val="21"/>
              </w:rPr>
              <w:fldChar w:fldCharType="end"/>
            </w:r>
            <w:r>
              <w:rPr>
                <w:color w:val="auto"/>
                <w:sz w:val="21"/>
                <w:szCs w:val="21"/>
              </w:rPr>
              <w:t>）</w:t>
            </w:r>
          </w:p>
        </w:tc>
        <w:tc>
          <w:tcPr>
            <w:tcW w:w="2325" w:type="dxa"/>
            <w:gridSpan w:val="2"/>
            <w:vMerge w:val="continue"/>
          </w:tcPr>
          <w:p w14:paraId="0886E63D">
            <w:pPr>
              <w:spacing w:line="240" w:lineRule="auto"/>
              <w:rPr>
                <w:color w:val="auto"/>
                <w:sz w:val="21"/>
                <w:szCs w:val="21"/>
              </w:rPr>
            </w:pPr>
          </w:p>
        </w:tc>
      </w:tr>
      <w:tr w14:paraId="6E336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275" w:type="dxa"/>
          </w:tcPr>
          <w:p w14:paraId="1158A408">
            <w:pPr>
              <w:spacing w:line="240" w:lineRule="auto"/>
              <w:rPr>
                <w:color w:val="auto"/>
                <w:sz w:val="21"/>
                <w:szCs w:val="21"/>
              </w:rPr>
            </w:pPr>
            <w:r>
              <w:rPr>
                <w:color w:val="auto"/>
                <w:sz w:val="21"/>
                <w:szCs w:val="21"/>
              </w:rPr>
              <w:t>冲击通流容量</w:t>
            </w:r>
          </w:p>
        </w:tc>
        <w:tc>
          <w:tcPr>
            <w:tcW w:w="1065" w:type="dxa"/>
          </w:tcPr>
          <w:p w14:paraId="109993DC">
            <w:pPr>
              <w:spacing w:line="240" w:lineRule="auto"/>
              <w:rPr>
                <w:color w:val="auto"/>
                <w:sz w:val="21"/>
                <w:szCs w:val="21"/>
              </w:rPr>
            </w:pPr>
            <w:r>
              <w:rPr>
                <w:color w:val="auto"/>
                <w:sz w:val="21"/>
                <w:szCs w:val="21"/>
              </w:rPr>
              <w:t>限制电压</w:t>
            </w:r>
          </w:p>
        </w:tc>
        <w:tc>
          <w:tcPr>
            <w:tcW w:w="1260" w:type="dxa"/>
          </w:tcPr>
          <w:p w14:paraId="5C52A0A5">
            <w:pPr>
              <w:spacing w:line="240" w:lineRule="auto"/>
              <w:rPr>
                <w:color w:val="auto"/>
                <w:sz w:val="21"/>
                <w:szCs w:val="21"/>
              </w:rPr>
            </w:pPr>
            <w:r>
              <w:rPr>
                <w:color w:val="auto"/>
                <w:sz w:val="21"/>
                <w:szCs w:val="21"/>
              </w:rPr>
              <w:t>冲击通流容量</w:t>
            </w:r>
          </w:p>
        </w:tc>
        <w:tc>
          <w:tcPr>
            <w:tcW w:w="1080" w:type="dxa"/>
          </w:tcPr>
          <w:p w14:paraId="68E9B487">
            <w:pPr>
              <w:spacing w:line="240" w:lineRule="auto"/>
              <w:rPr>
                <w:color w:val="auto"/>
                <w:sz w:val="21"/>
                <w:szCs w:val="21"/>
              </w:rPr>
            </w:pPr>
            <w:r>
              <w:rPr>
                <w:color w:val="auto"/>
                <w:sz w:val="21"/>
                <w:szCs w:val="21"/>
              </w:rPr>
              <w:t>限制电压</w:t>
            </w:r>
          </w:p>
        </w:tc>
        <w:tc>
          <w:tcPr>
            <w:tcW w:w="1095" w:type="dxa"/>
          </w:tcPr>
          <w:p w14:paraId="18057FD1">
            <w:pPr>
              <w:spacing w:line="240" w:lineRule="auto"/>
              <w:rPr>
                <w:color w:val="auto"/>
                <w:sz w:val="21"/>
                <w:szCs w:val="21"/>
              </w:rPr>
            </w:pPr>
            <w:r>
              <w:rPr>
                <w:color w:val="auto"/>
                <w:sz w:val="21"/>
                <w:szCs w:val="21"/>
              </w:rPr>
              <w:t>冲击通流容量</w:t>
            </w:r>
          </w:p>
        </w:tc>
        <w:tc>
          <w:tcPr>
            <w:tcW w:w="1080" w:type="dxa"/>
          </w:tcPr>
          <w:p w14:paraId="26052089">
            <w:pPr>
              <w:spacing w:line="240" w:lineRule="auto"/>
              <w:rPr>
                <w:color w:val="auto"/>
                <w:sz w:val="21"/>
                <w:szCs w:val="21"/>
              </w:rPr>
            </w:pPr>
            <w:r>
              <w:rPr>
                <w:color w:val="auto"/>
                <w:sz w:val="21"/>
                <w:szCs w:val="21"/>
              </w:rPr>
              <w:t>限制电压</w:t>
            </w:r>
          </w:p>
        </w:tc>
        <w:tc>
          <w:tcPr>
            <w:tcW w:w="1260" w:type="dxa"/>
          </w:tcPr>
          <w:p w14:paraId="6BACE239">
            <w:pPr>
              <w:spacing w:line="240" w:lineRule="auto"/>
              <w:rPr>
                <w:color w:val="auto"/>
                <w:sz w:val="21"/>
                <w:szCs w:val="21"/>
              </w:rPr>
            </w:pPr>
            <w:r>
              <w:rPr>
                <w:color w:val="auto"/>
                <w:sz w:val="21"/>
                <w:szCs w:val="21"/>
              </w:rPr>
              <w:t>冲击通流容量</w:t>
            </w:r>
          </w:p>
        </w:tc>
        <w:tc>
          <w:tcPr>
            <w:tcW w:w="1065" w:type="dxa"/>
          </w:tcPr>
          <w:p w14:paraId="626F9852">
            <w:pPr>
              <w:spacing w:line="240" w:lineRule="auto"/>
              <w:rPr>
                <w:color w:val="auto"/>
                <w:sz w:val="21"/>
                <w:szCs w:val="21"/>
              </w:rPr>
            </w:pPr>
            <w:r>
              <w:rPr>
                <w:color w:val="auto"/>
                <w:sz w:val="21"/>
                <w:szCs w:val="21"/>
              </w:rPr>
              <w:t>限制电压</w:t>
            </w:r>
          </w:p>
        </w:tc>
      </w:tr>
      <w:tr w14:paraId="363B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275" w:type="dxa"/>
            <w:vAlign w:val="center"/>
          </w:tcPr>
          <w:p w14:paraId="44E16F0E">
            <w:pPr>
              <w:spacing w:line="400" w:lineRule="exact"/>
              <w:rPr>
                <w:color w:val="auto"/>
                <w:sz w:val="21"/>
                <w:szCs w:val="21"/>
              </w:rPr>
            </w:pPr>
            <w:r>
              <w:rPr>
                <w:color w:val="auto"/>
                <w:sz w:val="21"/>
                <w:szCs w:val="21"/>
              </w:rPr>
              <w:t>≥40kA</w:t>
            </w:r>
          </w:p>
        </w:tc>
        <w:tc>
          <w:tcPr>
            <w:tcW w:w="1065" w:type="dxa"/>
            <w:vAlign w:val="center"/>
          </w:tcPr>
          <w:p w14:paraId="176E4421">
            <w:pPr>
              <w:spacing w:line="400" w:lineRule="exact"/>
              <w:rPr>
                <w:color w:val="auto"/>
                <w:sz w:val="21"/>
                <w:szCs w:val="21"/>
              </w:rPr>
            </w:pPr>
            <w:r>
              <w:rPr>
                <w:color w:val="auto"/>
                <w:sz w:val="21"/>
                <w:szCs w:val="21"/>
              </w:rPr>
              <w:t>≤1500V</w:t>
            </w:r>
          </w:p>
        </w:tc>
        <w:tc>
          <w:tcPr>
            <w:tcW w:w="1260" w:type="dxa"/>
            <w:vAlign w:val="center"/>
          </w:tcPr>
          <w:p w14:paraId="7C3869DF">
            <w:pPr>
              <w:spacing w:line="400" w:lineRule="exact"/>
              <w:rPr>
                <w:color w:val="auto"/>
                <w:sz w:val="21"/>
                <w:szCs w:val="21"/>
              </w:rPr>
            </w:pPr>
            <w:r>
              <w:rPr>
                <w:color w:val="auto"/>
                <w:sz w:val="21"/>
                <w:szCs w:val="21"/>
              </w:rPr>
              <w:t>≥20kA</w:t>
            </w:r>
          </w:p>
        </w:tc>
        <w:tc>
          <w:tcPr>
            <w:tcW w:w="1080" w:type="dxa"/>
            <w:vAlign w:val="center"/>
          </w:tcPr>
          <w:p w14:paraId="1B427F95">
            <w:pPr>
              <w:spacing w:line="400" w:lineRule="exact"/>
              <w:rPr>
                <w:color w:val="auto"/>
                <w:sz w:val="21"/>
                <w:szCs w:val="21"/>
              </w:rPr>
            </w:pPr>
            <w:r>
              <w:rPr>
                <w:color w:val="auto"/>
                <w:sz w:val="21"/>
                <w:szCs w:val="21"/>
              </w:rPr>
              <w:t>≤1000V</w:t>
            </w:r>
          </w:p>
        </w:tc>
        <w:tc>
          <w:tcPr>
            <w:tcW w:w="1095" w:type="dxa"/>
            <w:vAlign w:val="center"/>
          </w:tcPr>
          <w:p w14:paraId="61253C70">
            <w:pPr>
              <w:spacing w:line="400" w:lineRule="exact"/>
              <w:rPr>
                <w:color w:val="auto"/>
                <w:sz w:val="21"/>
                <w:szCs w:val="21"/>
              </w:rPr>
            </w:pPr>
            <w:r>
              <w:rPr>
                <w:color w:val="auto"/>
                <w:sz w:val="21"/>
                <w:szCs w:val="21"/>
              </w:rPr>
              <w:t>≥10kA</w:t>
            </w:r>
          </w:p>
        </w:tc>
        <w:tc>
          <w:tcPr>
            <w:tcW w:w="1080" w:type="dxa"/>
            <w:vAlign w:val="center"/>
          </w:tcPr>
          <w:p w14:paraId="6C8C6F33">
            <w:pPr>
              <w:spacing w:line="400" w:lineRule="exact"/>
              <w:rPr>
                <w:color w:val="auto"/>
                <w:sz w:val="21"/>
                <w:szCs w:val="21"/>
              </w:rPr>
            </w:pPr>
            <w:r>
              <w:rPr>
                <w:color w:val="auto"/>
                <w:sz w:val="21"/>
                <w:szCs w:val="21"/>
              </w:rPr>
              <w:t>≤500V</w:t>
            </w:r>
          </w:p>
        </w:tc>
        <w:tc>
          <w:tcPr>
            <w:tcW w:w="1260" w:type="dxa"/>
            <w:vAlign w:val="center"/>
          </w:tcPr>
          <w:p w14:paraId="6292E18D">
            <w:pPr>
              <w:spacing w:line="400" w:lineRule="exact"/>
              <w:rPr>
                <w:color w:val="auto"/>
                <w:sz w:val="21"/>
                <w:szCs w:val="21"/>
              </w:rPr>
            </w:pPr>
            <w:r>
              <w:rPr>
                <w:color w:val="auto"/>
                <w:sz w:val="21"/>
                <w:szCs w:val="21"/>
              </w:rPr>
              <w:t>≥10kA</w:t>
            </w:r>
          </w:p>
        </w:tc>
        <w:tc>
          <w:tcPr>
            <w:tcW w:w="1065" w:type="dxa"/>
            <w:vAlign w:val="center"/>
          </w:tcPr>
          <w:p w14:paraId="37E3B8F6">
            <w:pPr>
              <w:spacing w:line="400" w:lineRule="exact"/>
              <w:rPr>
                <w:color w:val="auto"/>
                <w:sz w:val="21"/>
                <w:szCs w:val="21"/>
              </w:rPr>
            </w:pPr>
            <w:r>
              <w:rPr>
                <w:color w:val="auto"/>
                <w:sz w:val="21"/>
                <w:szCs w:val="21"/>
              </w:rPr>
              <w:t>注3</w:t>
            </w:r>
          </w:p>
        </w:tc>
      </w:tr>
      <w:tr w14:paraId="6604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180" w:type="dxa"/>
            <w:gridSpan w:val="8"/>
            <w:vAlign w:val="center"/>
          </w:tcPr>
          <w:p w14:paraId="25C0D820">
            <w:pPr>
              <w:spacing w:line="400" w:lineRule="exact"/>
              <w:rPr>
                <w:color w:val="auto"/>
                <w:sz w:val="21"/>
                <w:szCs w:val="21"/>
              </w:rPr>
            </w:pPr>
            <w:r>
              <w:rPr>
                <w:color w:val="auto"/>
                <w:sz w:val="21"/>
                <w:szCs w:val="21"/>
              </w:rPr>
              <w:t>注：1.微电子设备电源引入前安装的并联型交流电源防雷箱限制电压达不到要求时，应采用带滤波器的串联型电源防雷箱。</w:t>
            </w:r>
          </w:p>
          <w:p w14:paraId="72301658">
            <w:pPr>
              <w:spacing w:line="400" w:lineRule="exact"/>
              <w:rPr>
                <w:color w:val="auto"/>
                <w:sz w:val="21"/>
                <w:szCs w:val="21"/>
              </w:rPr>
            </w:pPr>
            <w:r>
              <w:rPr>
                <w:color w:val="auto"/>
                <w:sz w:val="21"/>
                <w:szCs w:val="21"/>
              </w:rPr>
              <w:t>2.电源防雷箱的功率应大于被保护设备总用电量的1.2倍。</w:t>
            </w:r>
          </w:p>
          <w:p w14:paraId="39D61C30">
            <w:pPr>
              <w:spacing w:line="400" w:lineRule="exact"/>
              <w:rPr>
                <w:color w:val="auto"/>
                <w:sz w:val="21"/>
                <w:szCs w:val="21"/>
              </w:rPr>
            </w:pPr>
            <w:r>
              <w:rPr>
                <w:color w:val="auto"/>
                <w:sz w:val="21"/>
                <w:szCs w:val="21"/>
              </w:rPr>
              <w:t>3.直流电源防雷保安器的选取：工作电压24 V时，限制电压75 V；工作电压48 V时，限制电压110V；工作电压110 V时，限制电压220 V；工作电压220 V时，限制电压500 V。</w:t>
            </w:r>
          </w:p>
        </w:tc>
      </w:tr>
      <w:tr w14:paraId="406DB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180" w:type="dxa"/>
            <w:gridSpan w:val="8"/>
            <w:vAlign w:val="center"/>
          </w:tcPr>
          <w:p w14:paraId="4BE8E388">
            <w:pPr>
              <w:spacing w:line="400" w:lineRule="exact"/>
              <w:rPr>
                <w:color w:val="auto"/>
                <w:sz w:val="21"/>
                <w:szCs w:val="21"/>
              </w:rPr>
            </w:pPr>
          </w:p>
        </w:tc>
      </w:tr>
    </w:tbl>
    <w:p w14:paraId="4CC61C43">
      <w:pPr>
        <w:ind w:firstLine="420" w:firstLineChars="200"/>
        <w:rPr>
          <w:color w:val="auto"/>
          <w:sz w:val="21"/>
          <w:szCs w:val="21"/>
        </w:rPr>
      </w:pPr>
      <w:r>
        <w:rPr>
          <w:rFonts w:hint="eastAsia"/>
          <w:color w:val="auto"/>
          <w:sz w:val="21"/>
          <w:szCs w:val="21"/>
        </w:rPr>
        <w:t>14</w:t>
      </w:r>
      <w:r>
        <w:rPr>
          <w:color w:val="auto"/>
          <w:sz w:val="21"/>
          <w:szCs w:val="21"/>
        </w:rPr>
        <w:t>．信号传输线防雷保安器</w:t>
      </w:r>
    </w:p>
    <w:p w14:paraId="6737218F">
      <w:pPr>
        <w:ind w:firstLine="420" w:firstLineChars="200"/>
        <w:rPr>
          <w:color w:val="auto"/>
          <w:sz w:val="21"/>
          <w:szCs w:val="21"/>
        </w:rPr>
      </w:pPr>
      <w:r>
        <w:rPr>
          <w:rFonts w:hint="eastAsia"/>
          <w:color w:val="auto"/>
          <w:sz w:val="21"/>
          <w:szCs w:val="21"/>
        </w:rPr>
        <w:t>1）室内数据</w:t>
      </w:r>
      <w:r>
        <w:rPr>
          <w:color w:val="auto"/>
          <w:sz w:val="21"/>
          <w:szCs w:val="21"/>
        </w:rPr>
        <w:t>传输线</w:t>
      </w:r>
      <w:r>
        <w:rPr>
          <w:rFonts w:hint="eastAsia"/>
          <w:color w:val="auto"/>
          <w:sz w:val="21"/>
          <w:szCs w:val="21"/>
        </w:rPr>
        <w:t>长度大</w:t>
      </w:r>
      <w:r>
        <w:rPr>
          <w:color w:val="auto"/>
          <w:sz w:val="21"/>
          <w:szCs w:val="21"/>
        </w:rPr>
        <w:t>于50</w:t>
      </w:r>
      <w:r>
        <w:rPr>
          <w:rFonts w:hint="eastAsia"/>
          <w:color w:val="auto"/>
          <w:sz w:val="21"/>
          <w:szCs w:val="21"/>
        </w:rPr>
        <w:t>-100</w:t>
      </w:r>
      <w:r>
        <w:rPr>
          <w:color w:val="auto"/>
          <w:sz w:val="21"/>
          <w:szCs w:val="21"/>
        </w:rPr>
        <w:t>m时，</w:t>
      </w:r>
      <w:r>
        <w:rPr>
          <w:rFonts w:hint="eastAsia"/>
          <w:color w:val="auto"/>
          <w:sz w:val="21"/>
          <w:szCs w:val="21"/>
        </w:rPr>
        <w:t>可</w:t>
      </w:r>
      <w:r>
        <w:rPr>
          <w:color w:val="auto"/>
          <w:sz w:val="21"/>
          <w:szCs w:val="21"/>
        </w:rPr>
        <w:t>在一端设备接口处</w:t>
      </w:r>
      <w:r>
        <w:rPr>
          <w:rFonts w:hint="eastAsia"/>
          <w:color w:val="auto"/>
          <w:sz w:val="21"/>
          <w:szCs w:val="21"/>
        </w:rPr>
        <w:t>设置</w:t>
      </w:r>
      <w:r>
        <w:rPr>
          <w:color w:val="auto"/>
          <w:sz w:val="21"/>
          <w:szCs w:val="21"/>
        </w:rPr>
        <w:t>防雷保安器</w:t>
      </w:r>
      <w:r>
        <w:rPr>
          <w:rFonts w:hint="eastAsia"/>
          <w:color w:val="auto"/>
          <w:sz w:val="21"/>
          <w:szCs w:val="21"/>
        </w:rPr>
        <w:t>；</w:t>
      </w:r>
      <w:r>
        <w:rPr>
          <w:color w:val="auto"/>
          <w:sz w:val="21"/>
          <w:szCs w:val="21"/>
        </w:rPr>
        <w:t>大于100m时，</w:t>
      </w:r>
      <w:r>
        <w:rPr>
          <w:rFonts w:hint="eastAsia"/>
          <w:color w:val="auto"/>
          <w:sz w:val="21"/>
          <w:szCs w:val="21"/>
        </w:rPr>
        <w:t>宜</w:t>
      </w:r>
      <w:r>
        <w:rPr>
          <w:color w:val="auto"/>
          <w:sz w:val="21"/>
          <w:szCs w:val="21"/>
        </w:rPr>
        <w:t>在两端设备接口处</w:t>
      </w:r>
      <w:r>
        <w:rPr>
          <w:rFonts w:hint="eastAsia"/>
          <w:color w:val="auto"/>
          <w:sz w:val="21"/>
          <w:szCs w:val="21"/>
        </w:rPr>
        <w:t>设置</w:t>
      </w:r>
      <w:r>
        <w:rPr>
          <w:color w:val="auto"/>
          <w:sz w:val="21"/>
          <w:szCs w:val="21"/>
        </w:rPr>
        <w:t>防雷保安器。</w:t>
      </w:r>
    </w:p>
    <w:p w14:paraId="490F6861">
      <w:pPr>
        <w:ind w:firstLine="420" w:firstLineChars="200"/>
        <w:rPr>
          <w:color w:val="auto"/>
          <w:sz w:val="21"/>
          <w:szCs w:val="21"/>
        </w:rPr>
      </w:pPr>
      <w:r>
        <w:rPr>
          <w:rFonts w:hint="eastAsia"/>
          <w:color w:val="auto"/>
          <w:sz w:val="21"/>
          <w:szCs w:val="21"/>
        </w:rPr>
        <w:t>2）室内信号传输线防雷保安器的选用应符合以下条款要求：</w:t>
      </w:r>
    </w:p>
    <w:p w14:paraId="6F242D9F">
      <w:pPr>
        <w:ind w:firstLine="420" w:firstLineChars="200"/>
        <w:rPr>
          <w:color w:val="auto"/>
          <w:sz w:val="21"/>
          <w:szCs w:val="21"/>
        </w:rPr>
      </w:pPr>
      <w:r>
        <w:rPr>
          <w:rFonts w:hint="eastAsia"/>
          <w:color w:val="auto"/>
          <w:sz w:val="21"/>
          <w:szCs w:val="21"/>
        </w:rPr>
        <w:t xml:space="preserve">① </w:t>
      </w:r>
      <w:r>
        <w:rPr>
          <w:color w:val="auto"/>
          <w:sz w:val="21"/>
          <w:szCs w:val="21"/>
        </w:rPr>
        <w:t>室内采集、驱动信号传输线防雷保安器冲击通流容量</w:t>
      </w:r>
      <w:r>
        <w:rPr>
          <w:rFonts w:hint="eastAsia"/>
          <w:color w:val="auto"/>
          <w:sz w:val="21"/>
          <w:szCs w:val="21"/>
        </w:rPr>
        <w:t>不小于1.5kA，</w:t>
      </w:r>
      <w:r>
        <w:rPr>
          <w:color w:val="auto"/>
          <w:sz w:val="21"/>
          <w:szCs w:val="21"/>
        </w:rPr>
        <w:t>限制电压</w:t>
      </w:r>
      <w:r>
        <w:rPr>
          <w:rFonts w:hint="eastAsia"/>
          <w:color w:val="auto"/>
          <w:sz w:val="21"/>
          <w:szCs w:val="21"/>
        </w:rPr>
        <w:t>不大于60V，信号衰耗不大于0.5db</w:t>
      </w:r>
      <w:r>
        <w:rPr>
          <w:color w:val="auto"/>
          <w:sz w:val="21"/>
          <w:szCs w:val="21"/>
        </w:rPr>
        <w:t>。</w:t>
      </w:r>
    </w:p>
    <w:p w14:paraId="59F72B8A">
      <w:pPr>
        <w:ind w:firstLine="420" w:firstLineChars="200"/>
        <w:rPr>
          <w:color w:val="auto"/>
          <w:sz w:val="21"/>
          <w:szCs w:val="21"/>
        </w:rPr>
      </w:pPr>
      <w:r>
        <w:rPr>
          <w:rFonts w:hint="eastAsia"/>
          <w:color w:val="auto"/>
          <w:sz w:val="21"/>
          <w:szCs w:val="21"/>
        </w:rPr>
        <w:t xml:space="preserve">② </w:t>
      </w:r>
      <w:r>
        <w:rPr>
          <w:color w:val="auto"/>
          <w:sz w:val="21"/>
          <w:szCs w:val="21"/>
        </w:rPr>
        <w:t>室内视频信号传输线防雷保安器冲击通流容量</w:t>
      </w:r>
      <w:r>
        <w:rPr>
          <w:rFonts w:hint="eastAsia"/>
          <w:color w:val="auto"/>
          <w:sz w:val="21"/>
          <w:szCs w:val="21"/>
        </w:rPr>
        <w:t>不小于1.5kA，</w:t>
      </w:r>
      <w:r>
        <w:rPr>
          <w:color w:val="auto"/>
          <w:sz w:val="21"/>
          <w:szCs w:val="21"/>
        </w:rPr>
        <w:t>限制电压</w:t>
      </w:r>
      <w:r>
        <w:rPr>
          <w:rFonts w:hint="eastAsia"/>
          <w:color w:val="auto"/>
          <w:sz w:val="21"/>
          <w:szCs w:val="21"/>
        </w:rPr>
        <w:t>不大于10V，信号衰耗不大于0.5db</w:t>
      </w:r>
      <w:r>
        <w:rPr>
          <w:color w:val="auto"/>
          <w:sz w:val="21"/>
          <w:szCs w:val="21"/>
        </w:rPr>
        <w:t>。</w:t>
      </w:r>
    </w:p>
    <w:p w14:paraId="7A4E33DB">
      <w:pPr>
        <w:ind w:firstLine="420" w:firstLineChars="200"/>
        <w:rPr>
          <w:color w:val="auto"/>
          <w:sz w:val="21"/>
          <w:szCs w:val="21"/>
        </w:rPr>
      </w:pPr>
      <w:r>
        <w:rPr>
          <w:rFonts w:hint="eastAsia"/>
          <w:color w:val="auto"/>
          <w:sz w:val="21"/>
          <w:szCs w:val="21"/>
        </w:rPr>
        <w:t xml:space="preserve">③ </w:t>
      </w:r>
      <w:r>
        <w:rPr>
          <w:color w:val="auto"/>
          <w:sz w:val="21"/>
          <w:szCs w:val="21"/>
        </w:rPr>
        <w:t>室内RS232 、RS422、RJ45</w:t>
      </w:r>
      <w:r>
        <w:rPr>
          <w:rFonts w:hint="eastAsia"/>
          <w:color w:val="auto"/>
          <w:sz w:val="21"/>
          <w:szCs w:val="21"/>
        </w:rPr>
        <w:t>、G.703 /V.35等通信</w:t>
      </w:r>
      <w:r>
        <w:rPr>
          <w:color w:val="auto"/>
          <w:sz w:val="21"/>
          <w:szCs w:val="21"/>
        </w:rPr>
        <w:t>接口信号传输线防雷保安器冲击通流容量</w:t>
      </w:r>
      <w:r>
        <w:rPr>
          <w:rFonts w:hint="eastAsia"/>
          <w:color w:val="auto"/>
          <w:sz w:val="21"/>
          <w:szCs w:val="21"/>
        </w:rPr>
        <w:t>不小于1.5kA，</w:t>
      </w:r>
      <w:r>
        <w:rPr>
          <w:color w:val="auto"/>
          <w:sz w:val="21"/>
          <w:szCs w:val="21"/>
        </w:rPr>
        <w:t>限制电压</w:t>
      </w:r>
      <w:r>
        <w:rPr>
          <w:rFonts w:hint="eastAsia"/>
          <w:color w:val="auto"/>
          <w:sz w:val="21"/>
          <w:szCs w:val="21"/>
        </w:rPr>
        <w:t>不大于40V，信号衰耗不大于0.5db</w:t>
      </w:r>
      <w:r>
        <w:rPr>
          <w:color w:val="auto"/>
          <w:sz w:val="21"/>
          <w:szCs w:val="21"/>
        </w:rPr>
        <w:t>。</w:t>
      </w:r>
    </w:p>
    <w:p w14:paraId="252859E3">
      <w:pPr>
        <w:ind w:firstLine="420" w:firstLineChars="200"/>
        <w:rPr>
          <w:color w:val="auto"/>
          <w:sz w:val="21"/>
          <w:szCs w:val="21"/>
        </w:rPr>
      </w:pPr>
      <w:r>
        <w:rPr>
          <w:rFonts w:hint="eastAsia"/>
          <w:color w:val="auto"/>
          <w:sz w:val="21"/>
          <w:szCs w:val="21"/>
        </w:rPr>
        <w:t>④ 其他室内</w:t>
      </w:r>
      <w:r>
        <w:rPr>
          <w:color w:val="auto"/>
          <w:sz w:val="21"/>
          <w:szCs w:val="21"/>
        </w:rPr>
        <w:t>信号传输线防雷保安器冲击通流容量</w:t>
      </w:r>
      <w:r>
        <w:rPr>
          <w:rFonts w:hint="eastAsia"/>
          <w:color w:val="auto"/>
          <w:sz w:val="21"/>
          <w:szCs w:val="21"/>
        </w:rPr>
        <w:t>不小于5</w:t>
      </w:r>
      <w:r>
        <w:rPr>
          <w:color w:val="auto"/>
          <w:sz w:val="21"/>
          <w:szCs w:val="21"/>
        </w:rPr>
        <w:t>kA</w:t>
      </w:r>
      <w:r>
        <w:rPr>
          <w:rFonts w:hint="eastAsia"/>
          <w:color w:val="auto"/>
          <w:sz w:val="21"/>
          <w:szCs w:val="21"/>
        </w:rPr>
        <w:t>，</w:t>
      </w:r>
      <w:r>
        <w:rPr>
          <w:color w:val="auto"/>
          <w:sz w:val="21"/>
          <w:szCs w:val="21"/>
        </w:rPr>
        <w:t>限制电压按表</w:t>
      </w:r>
      <w:r>
        <w:rPr>
          <w:rFonts w:hint="eastAsia"/>
          <w:color w:val="auto"/>
          <w:sz w:val="21"/>
          <w:szCs w:val="21"/>
        </w:rPr>
        <w:t>2</w:t>
      </w:r>
      <w:r>
        <w:rPr>
          <w:color w:val="auto"/>
          <w:sz w:val="21"/>
          <w:szCs w:val="21"/>
        </w:rPr>
        <w:t>选取。</w:t>
      </w:r>
    </w:p>
    <w:p w14:paraId="180D20B9">
      <w:pPr>
        <w:ind w:firstLine="420" w:firstLineChars="200"/>
        <w:rPr>
          <w:color w:val="auto"/>
          <w:sz w:val="21"/>
          <w:szCs w:val="21"/>
        </w:rPr>
      </w:pPr>
      <w:r>
        <w:rPr>
          <w:rFonts w:hint="eastAsia"/>
          <w:color w:val="auto"/>
          <w:sz w:val="21"/>
          <w:szCs w:val="21"/>
        </w:rPr>
        <w:t>3）安装于室外的电子设备宜在缆线终端入口处设置防雷保安器或防雷变压器。</w:t>
      </w:r>
    </w:p>
    <w:p w14:paraId="4AAD2915">
      <w:pPr>
        <w:ind w:firstLine="420" w:firstLineChars="200"/>
        <w:rPr>
          <w:color w:val="auto"/>
          <w:sz w:val="21"/>
          <w:szCs w:val="21"/>
        </w:rPr>
      </w:pPr>
      <w:r>
        <w:rPr>
          <w:rFonts w:hint="eastAsia"/>
          <w:color w:val="auto"/>
          <w:sz w:val="21"/>
          <w:szCs w:val="21"/>
        </w:rPr>
        <w:t>4）</w:t>
      </w:r>
      <w:r>
        <w:rPr>
          <w:color w:val="auto"/>
          <w:sz w:val="21"/>
          <w:szCs w:val="21"/>
        </w:rPr>
        <w:t>室外信号传输线</w:t>
      </w:r>
      <w:r>
        <w:rPr>
          <w:rFonts w:hint="eastAsia"/>
          <w:color w:val="auto"/>
          <w:sz w:val="21"/>
          <w:szCs w:val="21"/>
        </w:rPr>
        <w:t>（非架空线）</w:t>
      </w:r>
      <w:r>
        <w:rPr>
          <w:color w:val="auto"/>
          <w:sz w:val="21"/>
          <w:szCs w:val="21"/>
        </w:rPr>
        <w:t>防雷保安器冲击通流容量</w:t>
      </w:r>
      <w:r>
        <w:rPr>
          <w:rFonts w:hint="eastAsia"/>
          <w:color w:val="auto"/>
          <w:sz w:val="21"/>
          <w:szCs w:val="21"/>
        </w:rPr>
        <w:t>不小于10kA，</w:t>
      </w:r>
      <w:r>
        <w:rPr>
          <w:color w:val="auto"/>
          <w:sz w:val="21"/>
          <w:szCs w:val="21"/>
        </w:rPr>
        <w:t>限制电压按表2选取。</w:t>
      </w:r>
    </w:p>
    <w:p w14:paraId="700DD63B">
      <w:pPr>
        <w:jc w:val="center"/>
        <w:rPr>
          <w:color w:val="auto"/>
          <w:sz w:val="21"/>
          <w:szCs w:val="21"/>
        </w:rPr>
      </w:pPr>
      <w:r>
        <w:rPr>
          <w:color w:val="auto"/>
          <w:sz w:val="21"/>
          <w:szCs w:val="21"/>
        </w:rPr>
        <w:t>表2</w:t>
      </w:r>
      <w:r>
        <w:rPr>
          <w:rFonts w:hint="eastAsia"/>
          <w:color w:val="auto"/>
          <w:sz w:val="21"/>
          <w:szCs w:val="21"/>
        </w:rPr>
        <w:t xml:space="preserve">  </w:t>
      </w:r>
      <w:r>
        <w:rPr>
          <w:color w:val="auto"/>
          <w:sz w:val="21"/>
          <w:szCs w:val="21"/>
        </w:rPr>
        <w:t>信号传输线防雷保安器限制电压</w:t>
      </w:r>
      <w:r>
        <w:rPr>
          <w:rFonts w:hint="eastAsia"/>
          <w:color w:val="auto"/>
          <w:sz w:val="21"/>
          <w:szCs w:val="21"/>
        </w:rPr>
        <w:t>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4145"/>
        <w:gridCol w:w="3932"/>
      </w:tblGrid>
      <w:tr w14:paraId="52384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43" w:type="dxa"/>
            <w:vAlign w:val="center"/>
          </w:tcPr>
          <w:p w14:paraId="5DE079D6">
            <w:pPr>
              <w:spacing w:line="400" w:lineRule="exact"/>
              <w:rPr>
                <w:rFonts w:hint="eastAsia" w:ascii="宋体" w:hAnsi="宋体" w:eastAsia="宋体" w:cs="宋体"/>
                <w:color w:val="auto"/>
                <w:sz w:val="18"/>
                <w:szCs w:val="18"/>
              </w:rPr>
            </w:pPr>
          </w:p>
        </w:tc>
        <w:tc>
          <w:tcPr>
            <w:tcW w:w="4145" w:type="dxa"/>
            <w:vAlign w:val="center"/>
          </w:tcPr>
          <w:p w14:paraId="07AEEFDF">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信号设备名称（工作电压）</w:t>
            </w:r>
          </w:p>
        </w:tc>
        <w:tc>
          <w:tcPr>
            <w:tcW w:w="3932" w:type="dxa"/>
            <w:vAlign w:val="center"/>
          </w:tcPr>
          <w:p w14:paraId="5D34EB6B">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限制电压（V）</w:t>
            </w:r>
          </w:p>
        </w:tc>
      </w:tr>
      <w:tr w14:paraId="0052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43" w:type="dxa"/>
            <w:vAlign w:val="center"/>
          </w:tcPr>
          <w:p w14:paraId="53AAEFE0">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4145" w:type="dxa"/>
            <w:vAlign w:val="center"/>
          </w:tcPr>
          <w:p w14:paraId="5FC13A9E">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轨道电路发送和接收端</w:t>
            </w:r>
          </w:p>
        </w:tc>
        <w:tc>
          <w:tcPr>
            <w:tcW w:w="3932" w:type="dxa"/>
            <w:vAlign w:val="center"/>
          </w:tcPr>
          <w:p w14:paraId="12F29BDD">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≤190 、330 、500 、700 （注）</w:t>
            </w:r>
          </w:p>
        </w:tc>
      </w:tr>
      <w:tr w14:paraId="1D15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43" w:type="dxa"/>
            <w:vAlign w:val="center"/>
          </w:tcPr>
          <w:p w14:paraId="6A9460F0">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4145" w:type="dxa"/>
            <w:vAlign w:val="center"/>
          </w:tcPr>
          <w:p w14:paraId="5957D8E3">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电码化轨道区段（≥220 V）</w:t>
            </w:r>
          </w:p>
        </w:tc>
        <w:tc>
          <w:tcPr>
            <w:tcW w:w="3932" w:type="dxa"/>
            <w:vAlign w:val="center"/>
          </w:tcPr>
          <w:p w14:paraId="1A2874CD">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≤1000</w:t>
            </w:r>
          </w:p>
        </w:tc>
      </w:tr>
      <w:tr w14:paraId="45AD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43" w:type="dxa"/>
            <w:vAlign w:val="center"/>
          </w:tcPr>
          <w:p w14:paraId="635C3F9D">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3</w:t>
            </w:r>
          </w:p>
        </w:tc>
        <w:tc>
          <w:tcPr>
            <w:tcW w:w="4145" w:type="dxa"/>
            <w:vAlign w:val="center"/>
          </w:tcPr>
          <w:p w14:paraId="65015DA6">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信号点灯、道岔表示、道岔启动（220V时）</w:t>
            </w:r>
          </w:p>
        </w:tc>
        <w:tc>
          <w:tcPr>
            <w:tcW w:w="3932" w:type="dxa"/>
            <w:vAlign w:val="center"/>
          </w:tcPr>
          <w:p w14:paraId="00728D90">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≤700</w:t>
            </w:r>
          </w:p>
        </w:tc>
      </w:tr>
      <w:tr w14:paraId="1F70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43" w:type="dxa"/>
            <w:vAlign w:val="center"/>
          </w:tcPr>
          <w:p w14:paraId="2C6654BB">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4</w:t>
            </w:r>
          </w:p>
        </w:tc>
        <w:tc>
          <w:tcPr>
            <w:tcW w:w="4145" w:type="dxa"/>
            <w:vAlign w:val="center"/>
          </w:tcPr>
          <w:p w14:paraId="6CCD4AF8">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道岔启动（380V时）</w:t>
            </w:r>
          </w:p>
        </w:tc>
        <w:tc>
          <w:tcPr>
            <w:tcW w:w="3932" w:type="dxa"/>
            <w:vAlign w:val="center"/>
          </w:tcPr>
          <w:p w14:paraId="1AC1FF69">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≤1000</w:t>
            </w:r>
          </w:p>
        </w:tc>
      </w:tr>
      <w:tr w14:paraId="2D9D0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43" w:type="dxa"/>
            <w:vAlign w:val="center"/>
          </w:tcPr>
          <w:p w14:paraId="2CAC0B39">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5</w:t>
            </w:r>
          </w:p>
        </w:tc>
        <w:tc>
          <w:tcPr>
            <w:tcW w:w="4145" w:type="dxa"/>
            <w:vAlign w:val="center"/>
          </w:tcPr>
          <w:p w14:paraId="5F376019">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220V交/直流回路</w:t>
            </w:r>
          </w:p>
        </w:tc>
        <w:tc>
          <w:tcPr>
            <w:tcW w:w="3932" w:type="dxa"/>
            <w:vAlign w:val="center"/>
          </w:tcPr>
          <w:p w14:paraId="6A6E897A">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≤700/500</w:t>
            </w:r>
          </w:p>
        </w:tc>
      </w:tr>
      <w:tr w14:paraId="2321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43" w:type="dxa"/>
            <w:vAlign w:val="center"/>
          </w:tcPr>
          <w:p w14:paraId="7CB52401">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6</w:t>
            </w:r>
          </w:p>
        </w:tc>
        <w:tc>
          <w:tcPr>
            <w:tcW w:w="4145" w:type="dxa"/>
            <w:vAlign w:val="center"/>
          </w:tcPr>
          <w:p w14:paraId="4C333505">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110V交/直流回路</w:t>
            </w:r>
          </w:p>
        </w:tc>
        <w:tc>
          <w:tcPr>
            <w:tcW w:w="3932" w:type="dxa"/>
            <w:vAlign w:val="center"/>
          </w:tcPr>
          <w:p w14:paraId="6385E7FE">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≤500/220</w:t>
            </w:r>
          </w:p>
        </w:tc>
      </w:tr>
      <w:tr w14:paraId="6A25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43" w:type="dxa"/>
            <w:vAlign w:val="center"/>
          </w:tcPr>
          <w:p w14:paraId="64A8E351">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7</w:t>
            </w:r>
          </w:p>
        </w:tc>
        <w:tc>
          <w:tcPr>
            <w:tcW w:w="4145" w:type="dxa"/>
            <w:vAlign w:val="center"/>
          </w:tcPr>
          <w:p w14:paraId="3E2584F9">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48V交/直流回路</w:t>
            </w:r>
          </w:p>
        </w:tc>
        <w:tc>
          <w:tcPr>
            <w:tcW w:w="3932" w:type="dxa"/>
            <w:vAlign w:val="center"/>
          </w:tcPr>
          <w:p w14:paraId="406B2989">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≤330/110</w:t>
            </w:r>
          </w:p>
        </w:tc>
      </w:tr>
      <w:tr w14:paraId="7A5A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43" w:type="dxa"/>
            <w:vAlign w:val="center"/>
          </w:tcPr>
          <w:p w14:paraId="33437E25">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8</w:t>
            </w:r>
          </w:p>
        </w:tc>
        <w:tc>
          <w:tcPr>
            <w:tcW w:w="4145" w:type="dxa"/>
            <w:vAlign w:val="center"/>
          </w:tcPr>
          <w:p w14:paraId="3F4B3180">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24V以下交/直流回路</w:t>
            </w:r>
          </w:p>
        </w:tc>
        <w:tc>
          <w:tcPr>
            <w:tcW w:w="3932" w:type="dxa"/>
            <w:vAlign w:val="center"/>
          </w:tcPr>
          <w:p w14:paraId="42B6D018">
            <w:pPr>
              <w:spacing w:line="400" w:lineRule="exact"/>
              <w:rPr>
                <w:rFonts w:hint="eastAsia" w:ascii="宋体" w:hAnsi="宋体" w:eastAsia="宋体" w:cs="宋体"/>
                <w:color w:val="auto"/>
                <w:sz w:val="18"/>
                <w:szCs w:val="18"/>
              </w:rPr>
            </w:pPr>
            <w:r>
              <w:rPr>
                <w:rFonts w:hint="eastAsia" w:ascii="宋体" w:hAnsi="宋体" w:eastAsia="宋体" w:cs="宋体"/>
                <w:color w:val="auto"/>
                <w:sz w:val="18"/>
                <w:szCs w:val="18"/>
              </w:rPr>
              <w:t>≤190/75</w:t>
            </w:r>
          </w:p>
        </w:tc>
      </w:tr>
      <w:tr w14:paraId="1FBD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820" w:type="dxa"/>
            <w:gridSpan w:val="3"/>
          </w:tcPr>
          <w:p w14:paraId="6A8B54D5">
            <w:pPr>
              <w:spacing w:line="240" w:lineRule="auto"/>
              <w:rPr>
                <w:color w:val="auto"/>
                <w:sz w:val="21"/>
                <w:szCs w:val="21"/>
              </w:rPr>
            </w:pPr>
            <w:r>
              <w:rPr>
                <w:rFonts w:hAnsi="宋体"/>
                <w:color w:val="auto"/>
                <w:sz w:val="21"/>
                <w:szCs w:val="21"/>
              </w:rPr>
              <w:t>注：</w:t>
            </w:r>
          </w:p>
          <w:p w14:paraId="7E42702D">
            <w:pPr>
              <w:spacing w:line="240" w:lineRule="auto"/>
              <w:rPr>
                <w:color w:val="auto"/>
                <w:sz w:val="21"/>
                <w:szCs w:val="21"/>
              </w:rPr>
            </w:pPr>
            <w:r>
              <w:rPr>
                <w:color w:val="auto"/>
                <w:sz w:val="21"/>
                <w:szCs w:val="21"/>
              </w:rPr>
              <w:t>1.</w:t>
            </w:r>
            <w:r>
              <w:rPr>
                <w:rFonts w:hAnsi="宋体"/>
                <w:color w:val="auto"/>
                <w:sz w:val="21"/>
                <w:szCs w:val="21"/>
              </w:rPr>
              <w:t>交流轨道电路：工作电压小于</w:t>
            </w:r>
            <w:r>
              <w:rPr>
                <w:color w:val="auto"/>
                <w:sz w:val="21"/>
                <w:szCs w:val="21"/>
              </w:rPr>
              <w:t>36V</w:t>
            </w:r>
            <w:r>
              <w:rPr>
                <w:rFonts w:hAnsi="宋体"/>
                <w:color w:val="auto"/>
                <w:sz w:val="21"/>
                <w:szCs w:val="21"/>
              </w:rPr>
              <w:t>时，限制电压应</w:t>
            </w:r>
            <w:r>
              <w:rPr>
                <w:color w:val="auto"/>
                <w:sz w:val="21"/>
                <w:szCs w:val="21"/>
              </w:rPr>
              <w:t>≤190V</w:t>
            </w:r>
            <w:r>
              <w:rPr>
                <w:rFonts w:hAnsi="宋体"/>
                <w:color w:val="auto"/>
                <w:sz w:val="21"/>
                <w:szCs w:val="21"/>
              </w:rPr>
              <w:t>；工作电压</w:t>
            </w:r>
            <w:r>
              <w:rPr>
                <w:color w:val="auto"/>
                <w:sz w:val="21"/>
                <w:szCs w:val="21"/>
              </w:rPr>
              <w:t>36—60V</w:t>
            </w:r>
            <w:r>
              <w:rPr>
                <w:rFonts w:hAnsi="宋体"/>
                <w:color w:val="auto"/>
                <w:sz w:val="21"/>
                <w:szCs w:val="21"/>
              </w:rPr>
              <w:t>时，限制电压应</w:t>
            </w:r>
            <w:r>
              <w:rPr>
                <w:color w:val="auto"/>
                <w:sz w:val="21"/>
                <w:szCs w:val="21"/>
              </w:rPr>
              <w:t>≤330V</w:t>
            </w:r>
            <w:r>
              <w:rPr>
                <w:rFonts w:hAnsi="宋体"/>
                <w:color w:val="auto"/>
                <w:sz w:val="21"/>
                <w:szCs w:val="21"/>
              </w:rPr>
              <w:t>；工作电压</w:t>
            </w:r>
            <w:r>
              <w:rPr>
                <w:color w:val="auto"/>
                <w:sz w:val="21"/>
                <w:szCs w:val="21"/>
              </w:rPr>
              <w:t>60—110V</w:t>
            </w:r>
            <w:r>
              <w:rPr>
                <w:rFonts w:hAnsi="宋体"/>
                <w:color w:val="auto"/>
                <w:sz w:val="21"/>
                <w:szCs w:val="21"/>
              </w:rPr>
              <w:t>时，限制电压应</w:t>
            </w:r>
            <w:r>
              <w:rPr>
                <w:color w:val="auto"/>
                <w:sz w:val="21"/>
                <w:szCs w:val="21"/>
              </w:rPr>
              <w:t>≤500V</w:t>
            </w:r>
            <w:r>
              <w:rPr>
                <w:rFonts w:hAnsi="宋体"/>
                <w:color w:val="auto"/>
                <w:sz w:val="21"/>
                <w:szCs w:val="21"/>
              </w:rPr>
              <w:t>；工作电压</w:t>
            </w:r>
            <w:r>
              <w:rPr>
                <w:color w:val="auto"/>
                <w:sz w:val="21"/>
                <w:szCs w:val="21"/>
              </w:rPr>
              <w:t>110—220V</w:t>
            </w:r>
            <w:r>
              <w:rPr>
                <w:rFonts w:hAnsi="宋体"/>
                <w:color w:val="auto"/>
                <w:sz w:val="21"/>
                <w:szCs w:val="21"/>
              </w:rPr>
              <w:t>时，限制电压应</w:t>
            </w:r>
            <w:r>
              <w:rPr>
                <w:color w:val="auto"/>
                <w:sz w:val="21"/>
                <w:szCs w:val="21"/>
              </w:rPr>
              <w:t>≤700V</w:t>
            </w:r>
            <w:r>
              <w:rPr>
                <w:rFonts w:hAnsi="宋体"/>
                <w:color w:val="auto"/>
                <w:sz w:val="21"/>
                <w:szCs w:val="21"/>
              </w:rPr>
              <w:t>。</w:t>
            </w:r>
          </w:p>
          <w:p w14:paraId="55D677C4">
            <w:pPr>
              <w:spacing w:line="240" w:lineRule="auto"/>
              <w:rPr>
                <w:color w:val="auto"/>
                <w:sz w:val="21"/>
                <w:szCs w:val="21"/>
              </w:rPr>
            </w:pPr>
            <w:r>
              <w:rPr>
                <w:color w:val="auto"/>
                <w:sz w:val="21"/>
                <w:szCs w:val="21"/>
              </w:rPr>
              <w:t>2</w:t>
            </w:r>
            <w:r>
              <w:rPr>
                <w:rFonts w:hAnsi="宋体"/>
                <w:color w:val="auto"/>
                <w:sz w:val="21"/>
                <w:szCs w:val="21"/>
              </w:rPr>
              <w:t>．直流轨道电路：工作电压小于</w:t>
            </w:r>
            <w:r>
              <w:rPr>
                <w:color w:val="auto"/>
                <w:sz w:val="21"/>
                <w:szCs w:val="21"/>
              </w:rPr>
              <w:t>24V</w:t>
            </w:r>
            <w:r>
              <w:rPr>
                <w:rFonts w:hAnsi="宋体"/>
                <w:color w:val="auto"/>
                <w:sz w:val="21"/>
                <w:szCs w:val="21"/>
              </w:rPr>
              <w:t>时，限制电压应</w:t>
            </w:r>
            <w:r>
              <w:rPr>
                <w:color w:val="auto"/>
                <w:sz w:val="21"/>
                <w:szCs w:val="21"/>
              </w:rPr>
              <w:t>≤75V</w:t>
            </w:r>
            <w:r>
              <w:rPr>
                <w:rFonts w:hAnsi="宋体"/>
                <w:color w:val="auto"/>
                <w:sz w:val="21"/>
                <w:szCs w:val="21"/>
              </w:rPr>
              <w:t>。</w:t>
            </w:r>
          </w:p>
        </w:tc>
      </w:tr>
    </w:tbl>
    <w:p w14:paraId="42DD12E0">
      <w:pPr>
        <w:ind w:firstLine="420" w:firstLineChars="200"/>
        <w:rPr>
          <w:color w:val="auto"/>
          <w:sz w:val="21"/>
          <w:szCs w:val="21"/>
        </w:rPr>
      </w:pPr>
      <w:r>
        <w:rPr>
          <w:rFonts w:hint="eastAsia"/>
          <w:color w:val="auto"/>
          <w:sz w:val="21"/>
          <w:szCs w:val="21"/>
        </w:rPr>
        <w:t>15</w:t>
      </w:r>
      <w:r>
        <w:rPr>
          <w:color w:val="auto"/>
          <w:sz w:val="21"/>
          <w:szCs w:val="21"/>
        </w:rPr>
        <w:t>．</w:t>
      </w:r>
      <w:r>
        <w:rPr>
          <w:rFonts w:hint="eastAsia"/>
          <w:color w:val="auto"/>
          <w:sz w:val="21"/>
          <w:szCs w:val="21"/>
        </w:rPr>
        <w:t>防雷设备的设置由招标人负责提供，投标人在技术规格书中应明确投标产品的型号及规格、提出详细的使用要求，安装尺寸、结合设计要求等。</w:t>
      </w:r>
    </w:p>
    <w:p w14:paraId="3629E914">
      <w:pPr>
        <w:spacing w:line="480" w:lineRule="auto"/>
        <w:ind w:firstLine="420" w:firstLineChars="200"/>
        <w:outlineLvl w:val="1"/>
        <w:rPr>
          <w:rFonts w:eastAsia="黑体"/>
          <w:color w:val="auto"/>
          <w:sz w:val="21"/>
          <w:szCs w:val="21"/>
        </w:rPr>
      </w:pPr>
      <w:r>
        <w:rPr>
          <w:rFonts w:hint="eastAsia" w:eastAsia="黑体"/>
          <w:color w:val="auto"/>
          <w:sz w:val="21"/>
          <w:szCs w:val="21"/>
        </w:rPr>
        <w:t>八</w:t>
      </w:r>
      <w:r>
        <w:rPr>
          <w:rFonts w:eastAsia="黑体"/>
          <w:color w:val="auto"/>
          <w:sz w:val="21"/>
          <w:szCs w:val="21"/>
        </w:rPr>
        <w:t>、</w:t>
      </w:r>
      <w:r>
        <w:rPr>
          <w:rFonts w:hint="eastAsia" w:eastAsia="黑体"/>
          <w:bCs/>
          <w:color w:val="auto"/>
          <w:sz w:val="21"/>
          <w:szCs w:val="21"/>
        </w:rPr>
        <w:t>制造监制和出厂检验</w:t>
      </w:r>
    </w:p>
    <w:p w14:paraId="00DF659B">
      <w:pPr>
        <w:tabs>
          <w:tab w:val="left" w:pos="360"/>
        </w:tabs>
        <w:ind w:firstLine="420" w:firstLineChars="200"/>
        <w:rPr>
          <w:color w:val="auto"/>
          <w:sz w:val="21"/>
          <w:szCs w:val="21"/>
        </w:rPr>
      </w:pPr>
      <w:r>
        <w:rPr>
          <w:rFonts w:hint="eastAsia"/>
          <w:color w:val="auto"/>
          <w:sz w:val="21"/>
          <w:szCs w:val="21"/>
        </w:rPr>
        <w:t>在产品制造期间，招标人有权在适当的时间到制造厂进行制造监制。在制造监制期间，制造商有责任提供有关产品包括各种数据，产品结构图和部件图的详细中文资料。但招标人监制并不解除制造商对所有产品在制造质量上应负的全部责任。</w:t>
      </w:r>
    </w:p>
    <w:p w14:paraId="1549ADC6">
      <w:pPr>
        <w:tabs>
          <w:tab w:val="left" w:pos="360"/>
        </w:tabs>
        <w:ind w:firstLine="420" w:firstLineChars="200"/>
        <w:rPr>
          <w:color w:val="auto"/>
          <w:sz w:val="21"/>
          <w:szCs w:val="21"/>
        </w:rPr>
      </w:pPr>
      <w:r>
        <w:rPr>
          <w:rFonts w:hint="eastAsia"/>
          <w:color w:val="auto"/>
          <w:sz w:val="21"/>
          <w:szCs w:val="21"/>
        </w:rPr>
        <w:t>产品出厂之前，制造商须邀请招标人技术人员到制造厂家进行检验。主要部件和电气部件及产品总体的检验都应在工厂内结束。投标人须提供由招标人工程师认可的一整套检验标准和计划。所有检验应严格按照认可的方式进行。在检验结束后，投标人须提供必要的技术数据和图纸，并提交一份测试报告给招标人。但招标人的工厂检验并不解除制造商对所有产品在制造质量上应负的全部责任。</w:t>
      </w:r>
    </w:p>
    <w:p w14:paraId="469C3CD4">
      <w:pPr>
        <w:tabs>
          <w:tab w:val="left" w:pos="360"/>
        </w:tabs>
        <w:ind w:firstLine="420" w:firstLineChars="200"/>
        <w:rPr>
          <w:color w:val="auto"/>
          <w:sz w:val="21"/>
          <w:szCs w:val="21"/>
        </w:rPr>
      </w:pPr>
      <w:r>
        <w:rPr>
          <w:rFonts w:hint="eastAsia"/>
          <w:color w:val="auto"/>
          <w:sz w:val="21"/>
          <w:szCs w:val="21"/>
        </w:rPr>
        <w:t>1</w:t>
      </w:r>
      <w:r>
        <w:rPr>
          <w:color w:val="auto"/>
          <w:sz w:val="21"/>
          <w:szCs w:val="21"/>
        </w:rPr>
        <w:t>．</w:t>
      </w:r>
      <w:r>
        <w:rPr>
          <w:rFonts w:hint="eastAsia"/>
          <w:color w:val="auto"/>
          <w:sz w:val="21"/>
          <w:szCs w:val="21"/>
        </w:rPr>
        <w:t>基本要求</w:t>
      </w:r>
    </w:p>
    <w:p w14:paraId="72D66352">
      <w:pPr>
        <w:tabs>
          <w:tab w:val="left" w:pos="360"/>
        </w:tabs>
        <w:ind w:firstLine="420" w:firstLineChars="200"/>
        <w:rPr>
          <w:color w:val="auto"/>
          <w:sz w:val="21"/>
          <w:szCs w:val="21"/>
        </w:rPr>
      </w:pPr>
      <w:r>
        <w:rPr>
          <w:rFonts w:hint="eastAsia"/>
          <w:color w:val="auto"/>
          <w:sz w:val="21"/>
          <w:szCs w:val="21"/>
        </w:rPr>
        <w:t>① 设备应通过出厂试验及现场试验等各型试验，各类试验均应根据国标或相应IEC标准的相应规定、方法进行。</w:t>
      </w:r>
    </w:p>
    <w:p w14:paraId="25AD4244">
      <w:pPr>
        <w:tabs>
          <w:tab w:val="left" w:pos="360"/>
        </w:tabs>
        <w:ind w:firstLine="420" w:firstLineChars="200"/>
        <w:rPr>
          <w:color w:val="auto"/>
          <w:sz w:val="21"/>
          <w:szCs w:val="21"/>
        </w:rPr>
      </w:pPr>
      <w:r>
        <w:rPr>
          <w:rFonts w:hint="eastAsia"/>
          <w:color w:val="auto"/>
          <w:sz w:val="21"/>
          <w:szCs w:val="21"/>
        </w:rPr>
        <w:t>② 所有设备整机及其主要部件的试验，应按合同和招标人批准的试验方案、计划进行试验。投标人不得以任何借口减少试验项目和内容，试验验收后，并不减轻或减少投标人对设备所负的责任。</w:t>
      </w:r>
    </w:p>
    <w:p w14:paraId="02D3FFC0">
      <w:pPr>
        <w:tabs>
          <w:tab w:val="left" w:pos="360"/>
        </w:tabs>
        <w:ind w:firstLine="420" w:firstLineChars="200"/>
        <w:rPr>
          <w:color w:val="auto"/>
          <w:sz w:val="21"/>
          <w:szCs w:val="21"/>
        </w:rPr>
      </w:pPr>
      <w:r>
        <w:rPr>
          <w:rFonts w:hint="eastAsia"/>
          <w:color w:val="auto"/>
          <w:sz w:val="21"/>
          <w:szCs w:val="21"/>
        </w:rPr>
        <w:t>③ 试验时如果招标人人员不能按时到场，在得到招标人的许可后方可单独进行试验。</w:t>
      </w:r>
    </w:p>
    <w:p w14:paraId="1A072273">
      <w:pPr>
        <w:tabs>
          <w:tab w:val="left" w:pos="360"/>
        </w:tabs>
        <w:ind w:firstLine="420" w:firstLineChars="200"/>
        <w:rPr>
          <w:color w:val="auto"/>
          <w:sz w:val="21"/>
          <w:szCs w:val="21"/>
        </w:rPr>
      </w:pPr>
      <w:r>
        <w:rPr>
          <w:rFonts w:hint="eastAsia"/>
          <w:color w:val="auto"/>
          <w:sz w:val="21"/>
          <w:szCs w:val="21"/>
        </w:rPr>
        <w:t>④ 如果招标人认为某项试验的条件、内容、程序、测量、记录和报告格式等任意一项不符合合同或试验规格书的要求，招标人有权拒绝接受试验报告并要求重做该项试验。</w:t>
      </w:r>
    </w:p>
    <w:p w14:paraId="1EC14403">
      <w:pPr>
        <w:tabs>
          <w:tab w:val="left" w:pos="360"/>
        </w:tabs>
        <w:ind w:firstLine="420" w:firstLineChars="200"/>
        <w:rPr>
          <w:color w:val="auto"/>
          <w:sz w:val="21"/>
          <w:szCs w:val="21"/>
        </w:rPr>
      </w:pPr>
      <w:r>
        <w:rPr>
          <w:rFonts w:hint="eastAsia"/>
          <w:color w:val="auto"/>
          <w:sz w:val="21"/>
          <w:szCs w:val="21"/>
        </w:rPr>
        <w:t>⑤ 招标人有权派人员到投标人的工厂、试验场地及试验室对设备整机及其主要部件的制造、组装、试验和调试等生产过程进行抽查、监督。</w:t>
      </w:r>
    </w:p>
    <w:p w14:paraId="775AF456">
      <w:pPr>
        <w:tabs>
          <w:tab w:val="left" w:pos="360"/>
        </w:tabs>
        <w:ind w:firstLine="420" w:firstLineChars="200"/>
        <w:rPr>
          <w:color w:val="auto"/>
          <w:sz w:val="21"/>
          <w:szCs w:val="21"/>
        </w:rPr>
      </w:pPr>
      <w:r>
        <w:rPr>
          <w:rFonts w:hint="eastAsia"/>
          <w:color w:val="auto"/>
          <w:sz w:val="21"/>
          <w:szCs w:val="21"/>
        </w:rPr>
        <w:t>⑥ 对招标人到投标人的工厂、试验场地及试验室参加的试验或进行的检验、抽查等工作，</w:t>
      </w:r>
      <w:r>
        <w:rPr>
          <w:color w:val="auto"/>
          <w:sz w:val="21"/>
          <w:szCs w:val="21"/>
        </w:rPr>
        <w:t>投标人应向招标人参加人员提供往返</w:t>
      </w:r>
      <w:r>
        <w:rPr>
          <w:rFonts w:hint="eastAsia"/>
          <w:color w:val="auto"/>
          <w:sz w:val="21"/>
          <w:szCs w:val="21"/>
        </w:rPr>
        <w:t>交通</w:t>
      </w:r>
      <w:r>
        <w:rPr>
          <w:color w:val="auto"/>
          <w:sz w:val="21"/>
          <w:szCs w:val="21"/>
        </w:rPr>
        <w:t>、食宿、保险、日常开支及当地专用交通工具</w:t>
      </w:r>
      <w:r>
        <w:rPr>
          <w:rFonts w:hint="eastAsia"/>
          <w:color w:val="auto"/>
          <w:sz w:val="21"/>
          <w:szCs w:val="21"/>
        </w:rPr>
        <w:t>和办公条件</w:t>
      </w:r>
      <w:r>
        <w:rPr>
          <w:color w:val="auto"/>
          <w:sz w:val="21"/>
          <w:szCs w:val="21"/>
        </w:rPr>
        <w:t>，费用由投标人支付并已包括在合同价格中。</w:t>
      </w:r>
    </w:p>
    <w:p w14:paraId="775C91DB">
      <w:pPr>
        <w:tabs>
          <w:tab w:val="left" w:pos="360"/>
        </w:tabs>
        <w:ind w:firstLine="420" w:firstLineChars="200"/>
        <w:rPr>
          <w:color w:val="auto"/>
          <w:sz w:val="21"/>
          <w:szCs w:val="21"/>
        </w:rPr>
      </w:pPr>
      <w:r>
        <w:rPr>
          <w:rFonts w:hint="eastAsia"/>
          <w:color w:val="auto"/>
          <w:sz w:val="21"/>
          <w:szCs w:val="21"/>
        </w:rPr>
        <w:t>2</w:t>
      </w:r>
      <w:r>
        <w:rPr>
          <w:color w:val="auto"/>
          <w:sz w:val="21"/>
          <w:szCs w:val="21"/>
        </w:rPr>
        <w:t>．</w:t>
      </w:r>
      <w:r>
        <w:rPr>
          <w:rFonts w:hint="eastAsia"/>
          <w:color w:val="auto"/>
          <w:sz w:val="21"/>
          <w:szCs w:val="21"/>
        </w:rPr>
        <w:t>出厂试验</w:t>
      </w:r>
    </w:p>
    <w:p w14:paraId="35548043">
      <w:pPr>
        <w:tabs>
          <w:tab w:val="left" w:pos="360"/>
        </w:tabs>
        <w:ind w:firstLine="420" w:firstLineChars="200"/>
        <w:rPr>
          <w:color w:val="auto"/>
          <w:sz w:val="21"/>
          <w:szCs w:val="21"/>
        </w:rPr>
      </w:pPr>
      <w:r>
        <w:rPr>
          <w:rFonts w:hint="eastAsia"/>
          <w:color w:val="auto"/>
          <w:sz w:val="21"/>
          <w:szCs w:val="21"/>
        </w:rPr>
        <w:t>由投标人负责。投标人须根据</w:t>
      </w:r>
      <w:r>
        <w:rPr>
          <w:color w:val="auto"/>
          <w:sz w:val="21"/>
          <w:szCs w:val="21"/>
        </w:rPr>
        <w:t>ISO9001</w:t>
      </w:r>
      <w:r>
        <w:rPr>
          <w:rFonts w:hint="eastAsia"/>
          <w:color w:val="auto"/>
          <w:sz w:val="21"/>
          <w:szCs w:val="21"/>
        </w:rPr>
        <w:t>的规定，按工厂（工业）标准进行常规的试验和检验，并负责提供质量检验、测试报告和产品合格证。</w:t>
      </w:r>
    </w:p>
    <w:p w14:paraId="05C94E01">
      <w:pPr>
        <w:tabs>
          <w:tab w:val="left" w:pos="360"/>
        </w:tabs>
        <w:ind w:firstLine="420" w:firstLineChars="200"/>
        <w:rPr>
          <w:color w:val="auto"/>
          <w:sz w:val="21"/>
          <w:szCs w:val="21"/>
        </w:rPr>
      </w:pPr>
      <w:r>
        <w:rPr>
          <w:rFonts w:hint="eastAsia"/>
          <w:color w:val="auto"/>
          <w:sz w:val="21"/>
          <w:szCs w:val="21"/>
        </w:rPr>
        <w:t>所有设备到达施工现场后，若发现缺损或性能劣化，均应由投标人无条件更换、补齐，并不得延误工期。</w:t>
      </w:r>
    </w:p>
    <w:p w14:paraId="16C230AB">
      <w:pPr>
        <w:tabs>
          <w:tab w:val="left" w:pos="360"/>
        </w:tabs>
        <w:ind w:firstLine="420" w:firstLineChars="200"/>
        <w:rPr>
          <w:color w:val="auto"/>
          <w:sz w:val="21"/>
          <w:szCs w:val="21"/>
        </w:rPr>
      </w:pPr>
      <w:r>
        <w:rPr>
          <w:rFonts w:hint="eastAsia"/>
          <w:color w:val="auto"/>
          <w:sz w:val="21"/>
          <w:szCs w:val="21"/>
        </w:rPr>
        <w:t>3</w:t>
      </w:r>
      <w:r>
        <w:rPr>
          <w:color w:val="auto"/>
          <w:sz w:val="21"/>
          <w:szCs w:val="21"/>
        </w:rPr>
        <w:t>．</w:t>
      </w:r>
      <w:r>
        <w:rPr>
          <w:rFonts w:hint="eastAsia"/>
          <w:color w:val="auto"/>
          <w:sz w:val="21"/>
          <w:szCs w:val="21"/>
        </w:rPr>
        <w:t>现场检验</w:t>
      </w:r>
    </w:p>
    <w:p w14:paraId="32D1BB5B">
      <w:pPr>
        <w:tabs>
          <w:tab w:val="left" w:pos="360"/>
        </w:tabs>
        <w:ind w:firstLine="420" w:firstLineChars="200"/>
        <w:rPr>
          <w:color w:val="auto"/>
          <w:sz w:val="21"/>
          <w:szCs w:val="21"/>
        </w:rPr>
      </w:pPr>
      <w:r>
        <w:rPr>
          <w:rFonts w:hint="eastAsia"/>
          <w:color w:val="auto"/>
          <w:sz w:val="21"/>
          <w:szCs w:val="21"/>
        </w:rPr>
        <w:t>① 现场检验分为投标人产品在现场安装后产品自身各项指标、功能检验，产品与其他设备、招标人工程结合后应用方面的检验，以及与工程共同进行的联合调试、移交测试、试运行。</w:t>
      </w:r>
    </w:p>
    <w:p w14:paraId="330D647B">
      <w:pPr>
        <w:tabs>
          <w:tab w:val="left" w:pos="360"/>
        </w:tabs>
        <w:ind w:firstLine="420" w:firstLineChars="200"/>
        <w:rPr>
          <w:color w:val="auto"/>
          <w:sz w:val="21"/>
          <w:szCs w:val="21"/>
        </w:rPr>
      </w:pPr>
      <w:r>
        <w:rPr>
          <w:rFonts w:hint="eastAsia"/>
          <w:color w:val="auto"/>
          <w:sz w:val="21"/>
          <w:szCs w:val="21"/>
        </w:rPr>
        <w:t>② 现场试验由招标人组织投标人参与，投标人负责对产品各项指标、功能进行检查、试验等，并配合招标人完成试验，在工程竣工后，投标人协助招标人共同配合设备管理单位完成联合调试、移交测试、试运行等工作。移交测试合格后，产品交由设备接管单位管理。之后的试运行、质保期内，不免除投标人对其设备质量、安全的主体责任。</w:t>
      </w:r>
    </w:p>
    <w:p w14:paraId="23D49508">
      <w:pPr>
        <w:tabs>
          <w:tab w:val="left" w:pos="360"/>
        </w:tabs>
        <w:ind w:firstLine="420" w:firstLineChars="200"/>
        <w:rPr>
          <w:color w:val="auto"/>
          <w:sz w:val="21"/>
          <w:szCs w:val="21"/>
        </w:rPr>
      </w:pPr>
      <w:r>
        <w:rPr>
          <w:rFonts w:hint="eastAsia"/>
          <w:color w:val="auto"/>
          <w:sz w:val="21"/>
          <w:szCs w:val="21"/>
        </w:rPr>
        <w:t>③ 投标人针对现场检验的各个阶段提供建议方案、试验内容、方法、标准，以及试验所需时间。</w:t>
      </w:r>
    </w:p>
    <w:p w14:paraId="2D661F49">
      <w:pPr>
        <w:tabs>
          <w:tab w:val="left" w:pos="360"/>
        </w:tabs>
        <w:ind w:firstLine="420" w:firstLineChars="200"/>
        <w:rPr>
          <w:color w:val="auto"/>
          <w:sz w:val="21"/>
          <w:szCs w:val="21"/>
        </w:rPr>
      </w:pPr>
      <w:r>
        <w:rPr>
          <w:rFonts w:hint="eastAsia"/>
          <w:color w:val="auto"/>
          <w:sz w:val="21"/>
          <w:szCs w:val="21"/>
        </w:rPr>
        <w:t>④ 在现场安装工作开始前二个月，投标人必须向招标人提供全套技术图纸、说明书（包括设备的技术性能、技术指标及完整的软件说明书）、测试记录。</w:t>
      </w:r>
    </w:p>
    <w:p w14:paraId="41CB0305">
      <w:pPr>
        <w:tabs>
          <w:tab w:val="left" w:pos="360"/>
        </w:tabs>
        <w:ind w:firstLine="420" w:firstLineChars="200"/>
        <w:rPr>
          <w:color w:val="auto"/>
          <w:sz w:val="21"/>
          <w:szCs w:val="21"/>
        </w:rPr>
      </w:pPr>
      <w:r>
        <w:rPr>
          <w:rFonts w:hint="eastAsia"/>
          <w:color w:val="auto"/>
          <w:sz w:val="21"/>
          <w:szCs w:val="21"/>
        </w:rPr>
        <w:t>⑤ 现场调试前一个月，投标人应向招标人提供调试计划、调试方法和调试要求报告，经招标人同意后方可进行调试。</w:t>
      </w:r>
    </w:p>
    <w:p w14:paraId="243FA5F1">
      <w:pPr>
        <w:tabs>
          <w:tab w:val="left" w:pos="360"/>
        </w:tabs>
        <w:ind w:firstLine="420" w:firstLineChars="200"/>
        <w:rPr>
          <w:color w:val="auto"/>
          <w:sz w:val="21"/>
          <w:szCs w:val="21"/>
        </w:rPr>
      </w:pPr>
      <w:r>
        <w:rPr>
          <w:rFonts w:hint="eastAsia"/>
          <w:color w:val="auto"/>
          <w:sz w:val="21"/>
          <w:szCs w:val="21"/>
        </w:rPr>
        <w:t>⑥ 投标人负责设备在现场的调试和开通，招标人派遣技术人员参加，并作必要的配合。</w:t>
      </w:r>
    </w:p>
    <w:p w14:paraId="38CDE133">
      <w:pPr>
        <w:tabs>
          <w:tab w:val="left" w:pos="360"/>
        </w:tabs>
        <w:ind w:firstLine="420" w:firstLineChars="200"/>
        <w:rPr>
          <w:color w:val="auto"/>
          <w:sz w:val="21"/>
          <w:szCs w:val="21"/>
        </w:rPr>
      </w:pPr>
      <w:r>
        <w:rPr>
          <w:rFonts w:hint="eastAsia"/>
          <w:color w:val="auto"/>
          <w:sz w:val="21"/>
          <w:szCs w:val="21"/>
        </w:rPr>
        <w:t>⑦ 投标人有义务定期向招标人报告调试进展情况，包括遇到的问题和解决的措施。</w:t>
      </w:r>
    </w:p>
    <w:p w14:paraId="4D45226A">
      <w:pPr>
        <w:tabs>
          <w:tab w:val="left" w:pos="360"/>
        </w:tabs>
        <w:ind w:firstLine="420" w:firstLineChars="200"/>
        <w:rPr>
          <w:color w:val="auto"/>
          <w:sz w:val="21"/>
          <w:szCs w:val="21"/>
        </w:rPr>
      </w:pPr>
      <w:r>
        <w:rPr>
          <w:rFonts w:hint="eastAsia"/>
          <w:color w:val="auto"/>
          <w:sz w:val="21"/>
          <w:szCs w:val="21"/>
        </w:rPr>
        <w:t>⑧ 设备调试结果良好，投标人可提交申请移交招标人测试的书面报告。</w:t>
      </w:r>
    </w:p>
    <w:p w14:paraId="704621E2">
      <w:pPr>
        <w:spacing w:line="480" w:lineRule="auto"/>
        <w:ind w:firstLine="420" w:firstLineChars="200"/>
        <w:outlineLvl w:val="1"/>
        <w:rPr>
          <w:rFonts w:eastAsia="黑体"/>
          <w:color w:val="auto"/>
          <w:sz w:val="21"/>
          <w:szCs w:val="21"/>
        </w:rPr>
      </w:pPr>
      <w:r>
        <w:rPr>
          <w:rFonts w:hint="eastAsia" w:eastAsia="黑体"/>
          <w:color w:val="auto"/>
          <w:sz w:val="21"/>
          <w:szCs w:val="21"/>
        </w:rPr>
        <w:t>九</w:t>
      </w:r>
      <w:r>
        <w:rPr>
          <w:rFonts w:eastAsia="黑体"/>
          <w:color w:val="auto"/>
          <w:sz w:val="21"/>
          <w:szCs w:val="21"/>
        </w:rPr>
        <w:t>、</w:t>
      </w:r>
      <w:r>
        <w:rPr>
          <w:rFonts w:hint="eastAsia" w:eastAsia="黑体"/>
          <w:bCs/>
          <w:color w:val="auto"/>
          <w:sz w:val="21"/>
          <w:szCs w:val="21"/>
        </w:rPr>
        <w:t>标志、铭牌、包装、运输、储存</w:t>
      </w:r>
    </w:p>
    <w:p w14:paraId="4D8ED216">
      <w:pPr>
        <w:tabs>
          <w:tab w:val="left" w:pos="360"/>
        </w:tabs>
        <w:ind w:firstLine="420" w:firstLineChars="200"/>
        <w:rPr>
          <w:color w:val="auto"/>
          <w:sz w:val="21"/>
          <w:szCs w:val="21"/>
        </w:rPr>
      </w:pPr>
      <w:r>
        <w:rPr>
          <w:rFonts w:hint="eastAsia"/>
          <w:color w:val="auto"/>
          <w:sz w:val="21"/>
          <w:szCs w:val="21"/>
        </w:rPr>
        <w:t>1</w:t>
      </w:r>
      <w:r>
        <w:rPr>
          <w:color w:val="auto"/>
          <w:sz w:val="21"/>
          <w:szCs w:val="21"/>
        </w:rPr>
        <w:t>．</w:t>
      </w:r>
      <w:r>
        <w:rPr>
          <w:rFonts w:hint="eastAsia"/>
          <w:color w:val="auto"/>
          <w:sz w:val="21"/>
          <w:szCs w:val="21"/>
        </w:rPr>
        <w:t>标志、铭牌</w:t>
      </w:r>
    </w:p>
    <w:p w14:paraId="7B1E80E9">
      <w:pPr>
        <w:tabs>
          <w:tab w:val="left" w:pos="360"/>
        </w:tabs>
        <w:ind w:firstLine="420" w:firstLineChars="200"/>
        <w:rPr>
          <w:color w:val="auto"/>
          <w:sz w:val="21"/>
          <w:szCs w:val="21"/>
        </w:rPr>
      </w:pPr>
      <w:r>
        <w:rPr>
          <w:rFonts w:hint="eastAsia"/>
          <w:color w:val="auto"/>
          <w:sz w:val="21"/>
          <w:szCs w:val="21"/>
        </w:rPr>
        <w:t>1）一般要求</w:t>
      </w:r>
    </w:p>
    <w:p w14:paraId="5C447290">
      <w:pPr>
        <w:tabs>
          <w:tab w:val="left" w:pos="360"/>
        </w:tabs>
        <w:ind w:firstLine="420" w:firstLineChars="200"/>
        <w:rPr>
          <w:color w:val="auto"/>
          <w:sz w:val="21"/>
          <w:szCs w:val="21"/>
        </w:rPr>
      </w:pPr>
      <w:r>
        <w:rPr>
          <w:rFonts w:hint="eastAsia"/>
          <w:color w:val="auto"/>
          <w:sz w:val="21"/>
          <w:szCs w:val="21"/>
        </w:rPr>
        <w:t>① 应使用中文，或使用铁总文件中已经定义的英文缩写；</w:t>
      </w:r>
    </w:p>
    <w:p w14:paraId="48EBEB55">
      <w:pPr>
        <w:tabs>
          <w:tab w:val="left" w:pos="360"/>
        </w:tabs>
        <w:ind w:firstLine="420" w:firstLineChars="200"/>
        <w:rPr>
          <w:color w:val="auto"/>
          <w:sz w:val="21"/>
          <w:szCs w:val="21"/>
        </w:rPr>
      </w:pPr>
      <w:r>
        <w:rPr>
          <w:rFonts w:hint="eastAsia"/>
          <w:color w:val="auto"/>
          <w:sz w:val="21"/>
          <w:szCs w:val="21"/>
        </w:rPr>
        <w:t>② 应设置在醒目、易于察看的位置；</w:t>
      </w:r>
    </w:p>
    <w:p w14:paraId="1DB000BC">
      <w:pPr>
        <w:tabs>
          <w:tab w:val="left" w:pos="360"/>
        </w:tabs>
        <w:ind w:firstLine="420" w:firstLineChars="200"/>
        <w:rPr>
          <w:color w:val="auto"/>
          <w:sz w:val="21"/>
          <w:szCs w:val="21"/>
        </w:rPr>
      </w:pPr>
      <w:r>
        <w:rPr>
          <w:rFonts w:hint="eastAsia"/>
          <w:color w:val="auto"/>
          <w:sz w:val="21"/>
          <w:szCs w:val="21"/>
        </w:rPr>
        <w:t>③ 字体颜色和标牌底色应为反色，以达到醒目的效果。</w:t>
      </w:r>
    </w:p>
    <w:p w14:paraId="0418F282">
      <w:pPr>
        <w:tabs>
          <w:tab w:val="left" w:pos="360"/>
        </w:tabs>
        <w:ind w:firstLine="420" w:firstLineChars="200"/>
        <w:rPr>
          <w:color w:val="auto"/>
          <w:sz w:val="21"/>
          <w:szCs w:val="21"/>
        </w:rPr>
      </w:pPr>
      <w:r>
        <w:rPr>
          <w:rFonts w:hint="eastAsia"/>
          <w:color w:val="auto"/>
          <w:sz w:val="21"/>
          <w:szCs w:val="21"/>
        </w:rPr>
        <w:t>2）每台产品必须在显著位置设置产品标牌，其内容包括：</w:t>
      </w:r>
    </w:p>
    <w:p w14:paraId="4C1C2045">
      <w:pPr>
        <w:tabs>
          <w:tab w:val="left" w:pos="360"/>
        </w:tabs>
        <w:ind w:firstLine="420" w:firstLineChars="200"/>
        <w:rPr>
          <w:color w:val="auto"/>
          <w:sz w:val="21"/>
          <w:szCs w:val="21"/>
        </w:rPr>
      </w:pPr>
      <w:r>
        <w:rPr>
          <w:rFonts w:hint="eastAsia"/>
          <w:color w:val="auto"/>
          <w:sz w:val="21"/>
          <w:szCs w:val="21"/>
        </w:rPr>
        <w:t>① 产品名称；</w:t>
      </w:r>
    </w:p>
    <w:p w14:paraId="6E0ED600">
      <w:pPr>
        <w:tabs>
          <w:tab w:val="left" w:pos="360"/>
        </w:tabs>
        <w:ind w:firstLine="420" w:firstLineChars="200"/>
        <w:rPr>
          <w:color w:val="auto"/>
          <w:sz w:val="21"/>
          <w:szCs w:val="21"/>
        </w:rPr>
      </w:pPr>
      <w:r>
        <w:rPr>
          <w:rFonts w:hint="eastAsia"/>
          <w:color w:val="auto"/>
          <w:sz w:val="21"/>
          <w:szCs w:val="21"/>
        </w:rPr>
        <w:t>② 产品型号；</w:t>
      </w:r>
    </w:p>
    <w:p w14:paraId="4A349D29">
      <w:pPr>
        <w:tabs>
          <w:tab w:val="left" w:pos="360"/>
        </w:tabs>
        <w:ind w:firstLine="420" w:firstLineChars="200"/>
        <w:rPr>
          <w:color w:val="auto"/>
          <w:sz w:val="21"/>
          <w:szCs w:val="21"/>
        </w:rPr>
      </w:pPr>
      <w:r>
        <w:rPr>
          <w:rFonts w:hint="eastAsia"/>
          <w:color w:val="auto"/>
          <w:sz w:val="21"/>
          <w:szCs w:val="21"/>
        </w:rPr>
        <w:t>③ 制造日期及出厂编号；</w:t>
      </w:r>
    </w:p>
    <w:p w14:paraId="5F7DFBBE">
      <w:pPr>
        <w:tabs>
          <w:tab w:val="left" w:pos="360"/>
        </w:tabs>
        <w:ind w:firstLine="420" w:firstLineChars="200"/>
        <w:rPr>
          <w:color w:val="auto"/>
          <w:sz w:val="21"/>
          <w:szCs w:val="21"/>
        </w:rPr>
      </w:pPr>
      <w:r>
        <w:rPr>
          <w:rFonts w:hint="eastAsia"/>
          <w:color w:val="auto"/>
          <w:sz w:val="21"/>
          <w:szCs w:val="21"/>
        </w:rPr>
        <w:t>④ 制造厂名称。</w:t>
      </w:r>
    </w:p>
    <w:p w14:paraId="7F2F9DA8">
      <w:pPr>
        <w:tabs>
          <w:tab w:val="left" w:pos="360"/>
        </w:tabs>
        <w:ind w:firstLine="420" w:firstLineChars="200"/>
        <w:rPr>
          <w:color w:val="auto"/>
          <w:sz w:val="21"/>
          <w:szCs w:val="21"/>
        </w:rPr>
      </w:pPr>
      <w:r>
        <w:rPr>
          <w:rFonts w:hint="eastAsia"/>
          <w:color w:val="auto"/>
          <w:sz w:val="21"/>
          <w:szCs w:val="21"/>
        </w:rPr>
        <w:t>3）产品的收、发货标志</w:t>
      </w:r>
      <w:r>
        <w:rPr>
          <w:color w:val="auto"/>
          <w:sz w:val="21"/>
          <w:szCs w:val="21"/>
        </w:rPr>
        <w:t xml:space="preserve"> </w:t>
      </w:r>
      <w:r>
        <w:rPr>
          <w:rFonts w:hint="eastAsia"/>
          <w:color w:val="auto"/>
          <w:sz w:val="21"/>
          <w:szCs w:val="21"/>
        </w:rPr>
        <w:t>符号应符合</w:t>
      </w:r>
      <w:r>
        <w:rPr>
          <w:color w:val="auto"/>
          <w:sz w:val="21"/>
          <w:szCs w:val="21"/>
        </w:rPr>
        <w:t>GB/T6388</w:t>
      </w:r>
      <w:r>
        <w:rPr>
          <w:rFonts w:hint="eastAsia"/>
          <w:color w:val="auto"/>
          <w:sz w:val="21"/>
          <w:szCs w:val="21"/>
        </w:rPr>
        <w:t>的有关规定。</w:t>
      </w:r>
    </w:p>
    <w:p w14:paraId="60C03CFA">
      <w:pPr>
        <w:tabs>
          <w:tab w:val="left" w:pos="360"/>
        </w:tabs>
        <w:ind w:firstLine="420" w:firstLineChars="200"/>
        <w:rPr>
          <w:color w:val="auto"/>
          <w:sz w:val="21"/>
          <w:szCs w:val="21"/>
        </w:rPr>
      </w:pPr>
      <w:r>
        <w:rPr>
          <w:rFonts w:hint="eastAsia"/>
          <w:color w:val="auto"/>
          <w:sz w:val="21"/>
          <w:szCs w:val="21"/>
        </w:rPr>
        <w:t>4）在包装箱的侧板上标注以下内容：</w:t>
      </w:r>
    </w:p>
    <w:p w14:paraId="49F021E7">
      <w:pPr>
        <w:tabs>
          <w:tab w:val="left" w:pos="360"/>
        </w:tabs>
        <w:ind w:firstLine="420" w:firstLineChars="200"/>
        <w:rPr>
          <w:color w:val="auto"/>
          <w:sz w:val="21"/>
          <w:szCs w:val="21"/>
        </w:rPr>
      </w:pPr>
      <w:r>
        <w:rPr>
          <w:rFonts w:hint="eastAsia"/>
          <w:color w:val="auto"/>
          <w:sz w:val="21"/>
          <w:szCs w:val="21"/>
        </w:rPr>
        <w:t>① 产品名称及产品型号；</w:t>
      </w:r>
    </w:p>
    <w:p w14:paraId="1C518804">
      <w:pPr>
        <w:tabs>
          <w:tab w:val="left" w:pos="360"/>
        </w:tabs>
        <w:ind w:firstLine="420" w:firstLineChars="200"/>
        <w:rPr>
          <w:color w:val="auto"/>
          <w:sz w:val="21"/>
          <w:szCs w:val="21"/>
        </w:rPr>
      </w:pPr>
      <w:r>
        <w:rPr>
          <w:rFonts w:hint="eastAsia"/>
          <w:color w:val="auto"/>
          <w:sz w:val="21"/>
          <w:szCs w:val="21"/>
        </w:rPr>
        <w:t>② 制造厂名称；</w:t>
      </w:r>
    </w:p>
    <w:p w14:paraId="7EDBC6E8">
      <w:pPr>
        <w:tabs>
          <w:tab w:val="left" w:pos="360"/>
        </w:tabs>
        <w:ind w:firstLine="420" w:firstLineChars="200"/>
        <w:rPr>
          <w:color w:val="auto"/>
          <w:sz w:val="21"/>
          <w:szCs w:val="21"/>
        </w:rPr>
      </w:pPr>
      <w:r>
        <w:rPr>
          <w:rFonts w:hint="eastAsia"/>
          <w:color w:val="auto"/>
          <w:sz w:val="21"/>
          <w:szCs w:val="21"/>
        </w:rPr>
        <w:t>③ 产品数量；</w:t>
      </w:r>
    </w:p>
    <w:p w14:paraId="506AC118">
      <w:pPr>
        <w:tabs>
          <w:tab w:val="left" w:pos="360"/>
        </w:tabs>
        <w:ind w:firstLine="420" w:firstLineChars="200"/>
        <w:rPr>
          <w:color w:val="auto"/>
          <w:sz w:val="21"/>
          <w:szCs w:val="21"/>
        </w:rPr>
      </w:pPr>
      <w:r>
        <w:rPr>
          <w:rFonts w:hint="eastAsia"/>
          <w:color w:val="auto"/>
          <w:sz w:val="21"/>
          <w:szCs w:val="21"/>
        </w:rPr>
        <w:t>④ 发货地点；</w:t>
      </w:r>
    </w:p>
    <w:p w14:paraId="2A7E97A7">
      <w:pPr>
        <w:tabs>
          <w:tab w:val="left" w:pos="360"/>
        </w:tabs>
        <w:ind w:firstLine="420" w:firstLineChars="200"/>
        <w:rPr>
          <w:color w:val="auto"/>
          <w:sz w:val="21"/>
          <w:szCs w:val="21"/>
        </w:rPr>
      </w:pPr>
      <w:r>
        <w:rPr>
          <w:rFonts w:hint="eastAsia"/>
          <w:color w:val="auto"/>
          <w:sz w:val="21"/>
          <w:szCs w:val="21"/>
        </w:rPr>
        <w:t>⑤ 收货站名，收货单位；</w:t>
      </w:r>
    </w:p>
    <w:p w14:paraId="558CA4A7">
      <w:pPr>
        <w:tabs>
          <w:tab w:val="left" w:pos="360"/>
        </w:tabs>
        <w:ind w:firstLine="420" w:firstLineChars="200"/>
        <w:rPr>
          <w:color w:val="auto"/>
          <w:sz w:val="21"/>
          <w:szCs w:val="21"/>
        </w:rPr>
      </w:pPr>
      <w:r>
        <w:rPr>
          <w:rFonts w:hint="eastAsia"/>
          <w:color w:val="auto"/>
          <w:sz w:val="21"/>
          <w:szCs w:val="21"/>
        </w:rPr>
        <w:t>⑥ 出厂日期。</w:t>
      </w:r>
    </w:p>
    <w:p w14:paraId="0F958359">
      <w:pPr>
        <w:tabs>
          <w:tab w:val="left" w:pos="360"/>
        </w:tabs>
        <w:ind w:firstLine="420" w:firstLineChars="200"/>
        <w:rPr>
          <w:color w:val="auto"/>
          <w:sz w:val="21"/>
          <w:szCs w:val="21"/>
        </w:rPr>
      </w:pPr>
      <w:r>
        <w:rPr>
          <w:rFonts w:hint="eastAsia"/>
          <w:color w:val="auto"/>
          <w:sz w:val="21"/>
          <w:szCs w:val="21"/>
        </w:rPr>
        <w:t>2</w:t>
      </w:r>
      <w:r>
        <w:rPr>
          <w:color w:val="auto"/>
          <w:sz w:val="21"/>
          <w:szCs w:val="21"/>
        </w:rPr>
        <w:t>．</w:t>
      </w:r>
      <w:r>
        <w:rPr>
          <w:rFonts w:hint="eastAsia"/>
          <w:color w:val="auto"/>
          <w:sz w:val="21"/>
          <w:szCs w:val="21"/>
        </w:rPr>
        <w:t>包装、运输、储存</w:t>
      </w:r>
    </w:p>
    <w:p w14:paraId="75DC974A">
      <w:pPr>
        <w:tabs>
          <w:tab w:val="left" w:pos="360"/>
        </w:tabs>
        <w:ind w:firstLine="420" w:firstLineChars="200"/>
        <w:rPr>
          <w:color w:val="auto"/>
          <w:sz w:val="21"/>
          <w:szCs w:val="21"/>
        </w:rPr>
      </w:pPr>
      <w:r>
        <w:rPr>
          <w:rFonts w:hint="eastAsia"/>
          <w:color w:val="auto"/>
          <w:sz w:val="21"/>
          <w:szCs w:val="21"/>
        </w:rPr>
        <w:t>① 投标人所供设备在包装时，应具有防水、防腐、防撞措施，保证在大批货物的运输和装卸过程中不受损坏，保证货物安全到达施工现场。每个包装箱内应附有产品合格证、使用说明书、附件、配件、装箱单。</w:t>
      </w:r>
    </w:p>
    <w:p w14:paraId="2AA4E74C">
      <w:pPr>
        <w:tabs>
          <w:tab w:val="left" w:pos="360"/>
        </w:tabs>
        <w:ind w:firstLine="420" w:firstLineChars="200"/>
        <w:rPr>
          <w:color w:val="auto"/>
          <w:sz w:val="21"/>
          <w:szCs w:val="21"/>
        </w:rPr>
      </w:pPr>
      <w:r>
        <w:rPr>
          <w:rFonts w:hint="eastAsia"/>
          <w:color w:val="auto"/>
          <w:sz w:val="21"/>
          <w:szCs w:val="21"/>
        </w:rPr>
        <w:t>② 包装箱的侧面应用不褪色的颜料注明运输及储存过程中的警示标志，其标志应符合GB191的规定。</w:t>
      </w:r>
    </w:p>
    <w:p w14:paraId="134A1A5D">
      <w:pPr>
        <w:tabs>
          <w:tab w:val="left" w:pos="360"/>
        </w:tabs>
        <w:ind w:firstLine="420" w:firstLineChars="200"/>
        <w:rPr>
          <w:color w:val="auto"/>
          <w:sz w:val="21"/>
          <w:szCs w:val="21"/>
        </w:rPr>
      </w:pPr>
      <w:r>
        <w:rPr>
          <w:rFonts w:hint="eastAsia"/>
          <w:color w:val="auto"/>
          <w:sz w:val="21"/>
          <w:szCs w:val="21"/>
        </w:rPr>
        <w:t>③ 设备必须附有产品质量合格证和产品说明书。</w:t>
      </w:r>
    </w:p>
    <w:p w14:paraId="1CE22DC4">
      <w:pPr>
        <w:spacing w:line="480" w:lineRule="auto"/>
        <w:ind w:firstLine="420" w:firstLineChars="200"/>
        <w:outlineLvl w:val="1"/>
        <w:rPr>
          <w:rFonts w:eastAsia="黑体"/>
          <w:color w:val="auto"/>
          <w:sz w:val="21"/>
          <w:szCs w:val="21"/>
        </w:rPr>
      </w:pPr>
      <w:r>
        <w:rPr>
          <w:rFonts w:hint="eastAsia" w:eastAsia="黑体"/>
          <w:color w:val="auto"/>
          <w:sz w:val="21"/>
          <w:szCs w:val="21"/>
        </w:rPr>
        <w:t>十</w:t>
      </w:r>
      <w:r>
        <w:rPr>
          <w:rFonts w:eastAsia="黑体"/>
          <w:color w:val="auto"/>
          <w:sz w:val="21"/>
          <w:szCs w:val="21"/>
        </w:rPr>
        <w:t>、</w:t>
      </w:r>
      <w:r>
        <w:rPr>
          <w:rFonts w:hint="eastAsia" w:eastAsia="黑体"/>
          <w:bCs/>
          <w:color w:val="auto"/>
          <w:sz w:val="21"/>
          <w:szCs w:val="21"/>
        </w:rPr>
        <w:t>验收</w:t>
      </w:r>
    </w:p>
    <w:p w14:paraId="2C0272B9">
      <w:pPr>
        <w:tabs>
          <w:tab w:val="left" w:pos="360"/>
          <w:tab w:val="left" w:pos="420"/>
        </w:tabs>
        <w:ind w:firstLine="420" w:firstLineChars="200"/>
        <w:rPr>
          <w:color w:val="auto"/>
          <w:sz w:val="21"/>
          <w:szCs w:val="21"/>
        </w:rPr>
      </w:pPr>
      <w:r>
        <w:rPr>
          <w:rFonts w:hint="eastAsia"/>
          <w:color w:val="auto"/>
          <w:sz w:val="21"/>
          <w:szCs w:val="21"/>
        </w:rPr>
        <w:t>1</w:t>
      </w:r>
      <w:r>
        <w:rPr>
          <w:color w:val="auto"/>
          <w:sz w:val="21"/>
          <w:szCs w:val="21"/>
        </w:rPr>
        <w:t>．</w:t>
      </w:r>
      <w:r>
        <w:rPr>
          <w:rFonts w:hint="eastAsia"/>
          <w:color w:val="auto"/>
          <w:sz w:val="21"/>
          <w:szCs w:val="21"/>
        </w:rPr>
        <w:t>经测试合格后，投标人方可申请对系统设备进行初验。</w:t>
      </w:r>
    </w:p>
    <w:p w14:paraId="74F7F7B9">
      <w:pPr>
        <w:tabs>
          <w:tab w:val="left" w:pos="360"/>
          <w:tab w:val="left" w:pos="420"/>
        </w:tabs>
        <w:ind w:firstLine="420" w:firstLineChars="200"/>
        <w:rPr>
          <w:color w:val="auto"/>
          <w:sz w:val="21"/>
          <w:szCs w:val="21"/>
        </w:rPr>
      </w:pPr>
      <w:r>
        <w:rPr>
          <w:rFonts w:hint="eastAsia"/>
          <w:color w:val="auto"/>
          <w:sz w:val="21"/>
          <w:szCs w:val="21"/>
        </w:rPr>
        <w:t>2</w:t>
      </w:r>
      <w:r>
        <w:rPr>
          <w:color w:val="auto"/>
          <w:sz w:val="21"/>
          <w:szCs w:val="21"/>
        </w:rPr>
        <w:t>．</w:t>
      </w:r>
      <w:r>
        <w:rPr>
          <w:rFonts w:hint="eastAsia"/>
          <w:color w:val="auto"/>
          <w:sz w:val="21"/>
          <w:szCs w:val="21"/>
        </w:rPr>
        <w:t>初验前，投标人应向招标人提供完整的竣工资料6套（包括产品说明书、合格证、测试报告、有关图表以及产品相关的其它必要资料等）。</w:t>
      </w:r>
    </w:p>
    <w:p w14:paraId="67E77036">
      <w:pPr>
        <w:tabs>
          <w:tab w:val="left" w:pos="360"/>
          <w:tab w:val="left" w:pos="420"/>
        </w:tabs>
        <w:ind w:firstLine="420" w:firstLineChars="200"/>
        <w:rPr>
          <w:color w:val="auto"/>
          <w:sz w:val="21"/>
          <w:szCs w:val="21"/>
        </w:rPr>
      </w:pPr>
      <w:r>
        <w:rPr>
          <w:rFonts w:hint="eastAsia"/>
          <w:color w:val="auto"/>
          <w:sz w:val="21"/>
          <w:szCs w:val="21"/>
        </w:rPr>
        <w:t>3</w:t>
      </w:r>
      <w:r>
        <w:rPr>
          <w:color w:val="auto"/>
          <w:sz w:val="21"/>
          <w:szCs w:val="21"/>
        </w:rPr>
        <w:t>．</w:t>
      </w:r>
      <w:r>
        <w:rPr>
          <w:rFonts w:hint="eastAsia"/>
          <w:color w:val="auto"/>
          <w:sz w:val="21"/>
          <w:szCs w:val="21"/>
        </w:rPr>
        <w:t>初验的内容为：设备的性能、制造工艺、测试数据、文件资料以及设备的试运行状况。</w:t>
      </w:r>
    </w:p>
    <w:p w14:paraId="34C8B922">
      <w:pPr>
        <w:tabs>
          <w:tab w:val="left" w:pos="360"/>
          <w:tab w:val="left" w:pos="420"/>
        </w:tabs>
        <w:ind w:firstLine="420" w:firstLineChars="200"/>
        <w:rPr>
          <w:color w:val="auto"/>
          <w:sz w:val="21"/>
          <w:szCs w:val="21"/>
        </w:rPr>
      </w:pPr>
      <w:r>
        <w:rPr>
          <w:rFonts w:hint="eastAsia"/>
          <w:color w:val="auto"/>
          <w:sz w:val="21"/>
          <w:szCs w:val="21"/>
        </w:rPr>
        <w:t>4</w:t>
      </w:r>
      <w:r>
        <w:rPr>
          <w:color w:val="auto"/>
          <w:sz w:val="21"/>
          <w:szCs w:val="21"/>
        </w:rPr>
        <w:t>．</w:t>
      </w:r>
      <w:r>
        <w:rPr>
          <w:rFonts w:hint="eastAsia"/>
          <w:color w:val="auto"/>
          <w:sz w:val="21"/>
          <w:szCs w:val="21"/>
        </w:rPr>
        <w:t>初验合格后，用户接管且开始试用设备，试用期为6个月，试用期结束后，经招标人确认设备运行可靠、功能齐全、各项指标全部合格，方可作正式交验，并办理正式移交，双方签署最终验收证书。</w:t>
      </w:r>
    </w:p>
    <w:p w14:paraId="13732E50">
      <w:pPr>
        <w:spacing w:line="480" w:lineRule="auto"/>
        <w:ind w:firstLine="420" w:firstLineChars="200"/>
        <w:outlineLvl w:val="1"/>
        <w:rPr>
          <w:rFonts w:eastAsia="黑体"/>
          <w:color w:val="auto"/>
          <w:sz w:val="21"/>
          <w:szCs w:val="21"/>
        </w:rPr>
      </w:pPr>
      <w:r>
        <w:rPr>
          <w:rFonts w:hint="eastAsia" w:eastAsia="黑体"/>
          <w:color w:val="auto"/>
          <w:sz w:val="21"/>
          <w:szCs w:val="21"/>
        </w:rPr>
        <w:t>十一</w:t>
      </w:r>
      <w:r>
        <w:rPr>
          <w:rFonts w:eastAsia="黑体"/>
          <w:color w:val="auto"/>
          <w:sz w:val="21"/>
          <w:szCs w:val="21"/>
        </w:rPr>
        <w:t>、</w:t>
      </w:r>
      <w:r>
        <w:rPr>
          <w:rFonts w:hint="eastAsia" w:eastAsia="黑体"/>
          <w:bCs/>
          <w:color w:val="auto"/>
          <w:sz w:val="21"/>
          <w:szCs w:val="21"/>
        </w:rPr>
        <w:t>技术服务</w:t>
      </w:r>
    </w:p>
    <w:p w14:paraId="44C46830">
      <w:pPr>
        <w:ind w:firstLine="422" w:firstLineChars="200"/>
        <w:outlineLvl w:val="2"/>
        <w:rPr>
          <w:b/>
          <w:color w:val="auto"/>
          <w:sz w:val="21"/>
          <w:szCs w:val="21"/>
        </w:rPr>
      </w:pPr>
      <w:r>
        <w:rPr>
          <w:rFonts w:hint="eastAsia"/>
          <w:b/>
          <w:color w:val="auto"/>
          <w:sz w:val="21"/>
          <w:szCs w:val="21"/>
        </w:rPr>
        <w:t>（一）</w:t>
      </w:r>
      <w:r>
        <w:rPr>
          <w:b/>
          <w:color w:val="auto"/>
          <w:sz w:val="21"/>
          <w:szCs w:val="21"/>
        </w:rPr>
        <w:t>技术资料</w:t>
      </w:r>
    </w:p>
    <w:p w14:paraId="3DDDCAF6">
      <w:pPr>
        <w:tabs>
          <w:tab w:val="left" w:pos="360"/>
          <w:tab w:val="left" w:pos="420"/>
        </w:tabs>
        <w:ind w:firstLine="420" w:firstLineChars="200"/>
        <w:rPr>
          <w:color w:val="auto"/>
          <w:sz w:val="21"/>
          <w:szCs w:val="21"/>
        </w:rPr>
      </w:pPr>
      <w:r>
        <w:rPr>
          <w:color w:val="auto"/>
          <w:sz w:val="21"/>
          <w:szCs w:val="21"/>
        </w:rPr>
        <w:t>1．图纸</w:t>
      </w:r>
    </w:p>
    <w:p w14:paraId="00C00AD3">
      <w:pPr>
        <w:tabs>
          <w:tab w:val="left" w:pos="360"/>
          <w:tab w:val="left" w:pos="420"/>
        </w:tabs>
        <w:ind w:firstLine="420" w:firstLineChars="200"/>
        <w:rPr>
          <w:color w:val="auto"/>
          <w:sz w:val="21"/>
          <w:szCs w:val="21"/>
        </w:rPr>
      </w:pPr>
      <w:r>
        <w:rPr>
          <w:rFonts w:hint="eastAsia"/>
          <w:color w:val="auto"/>
          <w:sz w:val="21"/>
          <w:szCs w:val="21"/>
        </w:rPr>
        <w:t>① 设备外形及其尺寸图</w:t>
      </w:r>
      <w:r>
        <w:rPr>
          <w:color w:val="auto"/>
          <w:sz w:val="21"/>
          <w:szCs w:val="21"/>
        </w:rPr>
        <w:t>。</w:t>
      </w:r>
    </w:p>
    <w:p w14:paraId="626BF0C1">
      <w:pPr>
        <w:tabs>
          <w:tab w:val="left" w:pos="360"/>
          <w:tab w:val="left" w:pos="420"/>
        </w:tabs>
        <w:ind w:firstLine="420" w:firstLineChars="200"/>
        <w:rPr>
          <w:color w:val="auto"/>
          <w:sz w:val="21"/>
          <w:szCs w:val="21"/>
        </w:rPr>
      </w:pPr>
      <w:r>
        <w:rPr>
          <w:rFonts w:hint="eastAsia"/>
          <w:color w:val="auto"/>
          <w:sz w:val="21"/>
          <w:szCs w:val="21"/>
        </w:rPr>
        <w:t>② 设备接线图及原理图</w:t>
      </w:r>
      <w:r>
        <w:rPr>
          <w:color w:val="auto"/>
          <w:sz w:val="21"/>
          <w:szCs w:val="21"/>
        </w:rPr>
        <w:t>。</w:t>
      </w:r>
    </w:p>
    <w:p w14:paraId="62000D7B">
      <w:pPr>
        <w:tabs>
          <w:tab w:val="left" w:pos="360"/>
          <w:tab w:val="left" w:pos="420"/>
        </w:tabs>
        <w:ind w:firstLine="420" w:firstLineChars="200"/>
        <w:rPr>
          <w:color w:val="auto"/>
          <w:sz w:val="21"/>
          <w:szCs w:val="21"/>
        </w:rPr>
      </w:pPr>
      <w:r>
        <w:rPr>
          <w:rFonts w:hint="eastAsia"/>
          <w:color w:val="auto"/>
          <w:sz w:val="21"/>
          <w:szCs w:val="21"/>
        </w:rPr>
        <w:t>③ 各设备的结构图</w:t>
      </w:r>
      <w:r>
        <w:rPr>
          <w:color w:val="auto"/>
          <w:sz w:val="21"/>
          <w:szCs w:val="21"/>
        </w:rPr>
        <w:t>。</w:t>
      </w:r>
    </w:p>
    <w:p w14:paraId="3712062B">
      <w:pPr>
        <w:tabs>
          <w:tab w:val="left" w:pos="360"/>
          <w:tab w:val="left" w:pos="420"/>
        </w:tabs>
        <w:ind w:firstLine="420" w:firstLineChars="200"/>
        <w:rPr>
          <w:color w:val="auto"/>
          <w:sz w:val="21"/>
          <w:szCs w:val="21"/>
        </w:rPr>
      </w:pPr>
      <w:r>
        <w:rPr>
          <w:rFonts w:hint="eastAsia"/>
          <w:color w:val="auto"/>
          <w:sz w:val="21"/>
          <w:szCs w:val="21"/>
        </w:rPr>
        <w:t>④ 有关的其它图纸</w:t>
      </w:r>
      <w:r>
        <w:rPr>
          <w:color w:val="auto"/>
          <w:sz w:val="21"/>
          <w:szCs w:val="21"/>
        </w:rPr>
        <w:t>。</w:t>
      </w:r>
    </w:p>
    <w:p w14:paraId="49837B55">
      <w:pPr>
        <w:tabs>
          <w:tab w:val="left" w:pos="360"/>
          <w:tab w:val="left" w:pos="420"/>
        </w:tabs>
        <w:ind w:firstLine="420" w:firstLineChars="200"/>
        <w:rPr>
          <w:color w:val="auto"/>
          <w:sz w:val="21"/>
          <w:szCs w:val="21"/>
        </w:rPr>
      </w:pPr>
      <w:r>
        <w:rPr>
          <w:color w:val="auto"/>
          <w:sz w:val="21"/>
          <w:szCs w:val="21"/>
        </w:rPr>
        <w:t>2．</w:t>
      </w:r>
      <w:r>
        <w:rPr>
          <w:rFonts w:hint="eastAsia"/>
          <w:color w:val="auto"/>
          <w:sz w:val="21"/>
          <w:szCs w:val="21"/>
        </w:rPr>
        <w:t>说明书</w:t>
      </w:r>
    </w:p>
    <w:p w14:paraId="541F524E">
      <w:pPr>
        <w:tabs>
          <w:tab w:val="left" w:pos="360"/>
          <w:tab w:val="left" w:pos="420"/>
        </w:tabs>
        <w:ind w:firstLine="420" w:firstLineChars="200"/>
        <w:rPr>
          <w:color w:val="auto"/>
          <w:sz w:val="21"/>
          <w:szCs w:val="21"/>
        </w:rPr>
      </w:pPr>
      <w:r>
        <w:rPr>
          <w:rFonts w:hint="eastAsia"/>
          <w:color w:val="auto"/>
          <w:sz w:val="21"/>
          <w:szCs w:val="21"/>
        </w:rPr>
        <w:t>① 设备型号、规格、重量</w:t>
      </w:r>
      <w:r>
        <w:rPr>
          <w:color w:val="auto"/>
          <w:sz w:val="21"/>
          <w:szCs w:val="21"/>
        </w:rPr>
        <w:t>。</w:t>
      </w:r>
    </w:p>
    <w:p w14:paraId="50A55FCA">
      <w:pPr>
        <w:tabs>
          <w:tab w:val="left" w:pos="360"/>
          <w:tab w:val="left" w:pos="420"/>
        </w:tabs>
        <w:ind w:firstLine="420" w:firstLineChars="200"/>
        <w:rPr>
          <w:color w:val="auto"/>
          <w:sz w:val="21"/>
          <w:szCs w:val="21"/>
        </w:rPr>
      </w:pPr>
      <w:r>
        <w:rPr>
          <w:rFonts w:hint="eastAsia"/>
          <w:color w:val="auto"/>
          <w:sz w:val="21"/>
          <w:szCs w:val="21"/>
        </w:rPr>
        <w:t>② 设备安装、使用、维护说明书</w:t>
      </w:r>
      <w:r>
        <w:rPr>
          <w:color w:val="auto"/>
          <w:sz w:val="21"/>
          <w:szCs w:val="21"/>
        </w:rPr>
        <w:t>。</w:t>
      </w:r>
    </w:p>
    <w:p w14:paraId="73589FF9">
      <w:pPr>
        <w:tabs>
          <w:tab w:val="left" w:pos="360"/>
          <w:tab w:val="left" w:pos="420"/>
        </w:tabs>
        <w:ind w:firstLine="420" w:firstLineChars="200"/>
        <w:rPr>
          <w:color w:val="auto"/>
          <w:sz w:val="21"/>
          <w:szCs w:val="21"/>
        </w:rPr>
      </w:pPr>
      <w:r>
        <w:rPr>
          <w:rFonts w:hint="eastAsia"/>
          <w:color w:val="auto"/>
          <w:sz w:val="21"/>
          <w:szCs w:val="21"/>
        </w:rPr>
        <w:t>③ 有关的其它说明书</w:t>
      </w:r>
      <w:r>
        <w:rPr>
          <w:color w:val="auto"/>
          <w:sz w:val="21"/>
          <w:szCs w:val="21"/>
        </w:rPr>
        <w:t>。</w:t>
      </w:r>
    </w:p>
    <w:p w14:paraId="29FDFA43">
      <w:pPr>
        <w:tabs>
          <w:tab w:val="left" w:pos="360"/>
          <w:tab w:val="left" w:pos="420"/>
        </w:tabs>
        <w:ind w:firstLine="420" w:firstLineChars="200"/>
        <w:rPr>
          <w:color w:val="auto"/>
          <w:sz w:val="21"/>
          <w:szCs w:val="21"/>
        </w:rPr>
      </w:pPr>
      <w:r>
        <w:rPr>
          <w:color w:val="auto"/>
          <w:sz w:val="21"/>
          <w:szCs w:val="21"/>
        </w:rPr>
        <w:t>3．</w:t>
      </w:r>
      <w:r>
        <w:rPr>
          <w:rFonts w:hint="eastAsia"/>
          <w:color w:val="auto"/>
          <w:sz w:val="21"/>
          <w:szCs w:val="21"/>
        </w:rPr>
        <w:t>测试资料</w:t>
      </w:r>
    </w:p>
    <w:p w14:paraId="0F7697E9">
      <w:pPr>
        <w:tabs>
          <w:tab w:val="left" w:pos="360"/>
          <w:tab w:val="left" w:pos="420"/>
        </w:tabs>
        <w:ind w:firstLine="420" w:firstLineChars="200"/>
        <w:rPr>
          <w:color w:val="auto"/>
          <w:sz w:val="21"/>
          <w:szCs w:val="21"/>
        </w:rPr>
      </w:pPr>
      <w:r>
        <w:rPr>
          <w:rFonts w:hint="eastAsia"/>
          <w:color w:val="auto"/>
          <w:sz w:val="21"/>
          <w:szCs w:val="21"/>
        </w:rPr>
        <w:t>① 设备出厂前，厂方的测试数据和测试报告</w:t>
      </w:r>
      <w:r>
        <w:rPr>
          <w:color w:val="auto"/>
          <w:sz w:val="21"/>
          <w:szCs w:val="21"/>
        </w:rPr>
        <w:t>。</w:t>
      </w:r>
    </w:p>
    <w:p w14:paraId="53AE88A1">
      <w:pPr>
        <w:tabs>
          <w:tab w:val="left" w:pos="360"/>
          <w:tab w:val="left" w:pos="420"/>
        </w:tabs>
        <w:ind w:firstLine="420" w:firstLineChars="200"/>
        <w:rPr>
          <w:color w:val="auto"/>
          <w:sz w:val="21"/>
          <w:szCs w:val="21"/>
        </w:rPr>
      </w:pPr>
      <w:r>
        <w:rPr>
          <w:rFonts w:hint="eastAsia"/>
          <w:color w:val="auto"/>
          <w:sz w:val="21"/>
          <w:szCs w:val="21"/>
        </w:rPr>
        <w:t>② 试数据和测试结果报告</w:t>
      </w:r>
      <w:r>
        <w:rPr>
          <w:color w:val="auto"/>
          <w:sz w:val="21"/>
          <w:szCs w:val="21"/>
        </w:rPr>
        <w:t>。</w:t>
      </w:r>
    </w:p>
    <w:p w14:paraId="69BC7129">
      <w:pPr>
        <w:tabs>
          <w:tab w:val="left" w:pos="360"/>
          <w:tab w:val="left" w:pos="420"/>
        </w:tabs>
        <w:ind w:firstLine="420" w:firstLineChars="200"/>
        <w:rPr>
          <w:color w:val="auto"/>
          <w:sz w:val="21"/>
          <w:szCs w:val="21"/>
        </w:rPr>
      </w:pPr>
      <w:r>
        <w:rPr>
          <w:rFonts w:hint="eastAsia"/>
          <w:color w:val="auto"/>
          <w:sz w:val="21"/>
          <w:szCs w:val="21"/>
        </w:rPr>
        <w:t>③ 招标人工程设计、设备安装、操纵使用、维护管理及系统扩展的需用，投标人应在合同生效后30天内提供全套详细的技术资料</w:t>
      </w:r>
      <w:r>
        <w:rPr>
          <w:color w:val="auto"/>
          <w:sz w:val="21"/>
          <w:szCs w:val="21"/>
        </w:rPr>
        <w:t>。</w:t>
      </w:r>
    </w:p>
    <w:p w14:paraId="7D4E2894">
      <w:pPr>
        <w:ind w:firstLine="422" w:firstLineChars="200"/>
        <w:outlineLvl w:val="2"/>
        <w:rPr>
          <w:b/>
          <w:color w:val="auto"/>
          <w:sz w:val="21"/>
          <w:szCs w:val="21"/>
        </w:rPr>
      </w:pPr>
      <w:r>
        <w:rPr>
          <w:rFonts w:hint="eastAsia"/>
          <w:b/>
          <w:color w:val="auto"/>
          <w:sz w:val="21"/>
          <w:szCs w:val="21"/>
        </w:rPr>
        <w:t>（二）技术培训</w:t>
      </w:r>
    </w:p>
    <w:p w14:paraId="3A77AB2E">
      <w:pPr>
        <w:tabs>
          <w:tab w:val="left" w:pos="360"/>
          <w:tab w:val="left" w:pos="420"/>
        </w:tabs>
        <w:ind w:firstLine="420" w:firstLineChars="200"/>
        <w:rPr>
          <w:color w:val="auto"/>
          <w:sz w:val="21"/>
          <w:szCs w:val="21"/>
        </w:rPr>
      </w:pPr>
      <w:r>
        <w:rPr>
          <w:color w:val="auto"/>
          <w:sz w:val="21"/>
          <w:szCs w:val="21"/>
        </w:rPr>
        <w:t>1．培训对象</w:t>
      </w:r>
    </w:p>
    <w:p w14:paraId="1BEECF77">
      <w:pPr>
        <w:tabs>
          <w:tab w:val="left" w:pos="360"/>
          <w:tab w:val="left" w:pos="420"/>
        </w:tabs>
        <w:ind w:firstLine="420" w:firstLineChars="200"/>
        <w:rPr>
          <w:color w:val="auto"/>
          <w:sz w:val="21"/>
          <w:szCs w:val="21"/>
        </w:rPr>
      </w:pPr>
      <w:r>
        <w:rPr>
          <w:rFonts w:hint="eastAsia"/>
          <w:color w:val="auto"/>
          <w:sz w:val="21"/>
          <w:szCs w:val="21"/>
        </w:rPr>
        <w:t>投标人应对招标人的工程技术人员、施工安装人员、维护管理人员提供良好的技术培训条件，使其能胜任工程设计、施工、调试、维修、故障处理的正确使用</w:t>
      </w:r>
      <w:r>
        <w:rPr>
          <w:color w:val="auto"/>
          <w:sz w:val="21"/>
          <w:szCs w:val="21"/>
        </w:rPr>
        <w:t>。</w:t>
      </w:r>
    </w:p>
    <w:p w14:paraId="3399D435">
      <w:pPr>
        <w:tabs>
          <w:tab w:val="left" w:pos="360"/>
          <w:tab w:val="left" w:pos="420"/>
        </w:tabs>
        <w:ind w:firstLine="420" w:firstLineChars="200"/>
        <w:rPr>
          <w:color w:val="auto"/>
          <w:sz w:val="21"/>
          <w:szCs w:val="21"/>
        </w:rPr>
      </w:pPr>
      <w:r>
        <w:rPr>
          <w:color w:val="auto"/>
          <w:sz w:val="21"/>
          <w:szCs w:val="21"/>
        </w:rPr>
        <w:t>2．培训内容</w:t>
      </w:r>
    </w:p>
    <w:p w14:paraId="2F6ED623">
      <w:pPr>
        <w:tabs>
          <w:tab w:val="left" w:pos="360"/>
          <w:tab w:val="left" w:pos="420"/>
        </w:tabs>
        <w:ind w:firstLine="420" w:firstLineChars="200"/>
        <w:rPr>
          <w:color w:val="auto"/>
          <w:sz w:val="21"/>
          <w:szCs w:val="21"/>
        </w:rPr>
      </w:pPr>
      <w:r>
        <w:rPr>
          <w:rFonts w:hint="eastAsia" w:ascii="宋体" w:hAnsi="宋体" w:cs="宋体"/>
          <w:color w:val="auto"/>
          <w:sz w:val="21"/>
          <w:szCs w:val="21"/>
        </w:rPr>
        <w:t xml:space="preserve">① </w:t>
      </w:r>
      <w:r>
        <w:rPr>
          <w:rFonts w:hint="eastAsia"/>
          <w:color w:val="auto"/>
          <w:sz w:val="21"/>
          <w:szCs w:val="21"/>
        </w:rPr>
        <w:t>各部件维护标准、技术参数</w:t>
      </w:r>
      <w:r>
        <w:rPr>
          <w:color w:val="auto"/>
          <w:sz w:val="21"/>
          <w:szCs w:val="21"/>
        </w:rPr>
        <w:t>；</w:t>
      </w:r>
    </w:p>
    <w:p w14:paraId="4A19D13C">
      <w:pPr>
        <w:tabs>
          <w:tab w:val="left" w:pos="360"/>
          <w:tab w:val="left" w:pos="420"/>
        </w:tabs>
        <w:ind w:firstLine="420" w:firstLineChars="200"/>
        <w:rPr>
          <w:color w:val="auto"/>
          <w:sz w:val="21"/>
          <w:szCs w:val="21"/>
        </w:rPr>
      </w:pPr>
      <w:r>
        <w:rPr>
          <w:rFonts w:hint="eastAsia" w:ascii="宋体" w:hAnsi="宋体" w:cs="宋体"/>
          <w:color w:val="auto"/>
          <w:sz w:val="21"/>
          <w:szCs w:val="21"/>
        </w:rPr>
        <w:t xml:space="preserve">② </w:t>
      </w:r>
      <w:r>
        <w:rPr>
          <w:rFonts w:hint="eastAsia"/>
          <w:color w:val="auto"/>
          <w:sz w:val="21"/>
          <w:szCs w:val="21"/>
        </w:rPr>
        <w:t>维护基本操作及相关注意事项</w:t>
      </w:r>
      <w:r>
        <w:rPr>
          <w:color w:val="auto"/>
          <w:sz w:val="21"/>
          <w:szCs w:val="21"/>
        </w:rPr>
        <w:t>；</w:t>
      </w:r>
    </w:p>
    <w:p w14:paraId="5B7CC070">
      <w:pPr>
        <w:tabs>
          <w:tab w:val="left" w:pos="360"/>
          <w:tab w:val="left" w:pos="420"/>
        </w:tabs>
        <w:ind w:firstLine="420" w:firstLineChars="200"/>
        <w:rPr>
          <w:color w:val="auto"/>
          <w:sz w:val="21"/>
          <w:szCs w:val="21"/>
        </w:rPr>
      </w:pPr>
      <w:r>
        <w:rPr>
          <w:rFonts w:hint="eastAsia" w:ascii="宋体" w:hAnsi="宋体" w:cs="宋体"/>
          <w:color w:val="auto"/>
          <w:sz w:val="21"/>
          <w:szCs w:val="21"/>
        </w:rPr>
        <w:t xml:space="preserve">③ </w:t>
      </w:r>
      <w:r>
        <w:rPr>
          <w:rFonts w:hint="eastAsia"/>
          <w:color w:val="auto"/>
          <w:sz w:val="21"/>
          <w:szCs w:val="21"/>
        </w:rPr>
        <w:t>维护工具的使用</w:t>
      </w:r>
      <w:r>
        <w:rPr>
          <w:color w:val="auto"/>
          <w:sz w:val="21"/>
          <w:szCs w:val="21"/>
        </w:rPr>
        <w:t>；</w:t>
      </w:r>
    </w:p>
    <w:p w14:paraId="5BEF7A21">
      <w:pPr>
        <w:tabs>
          <w:tab w:val="left" w:pos="360"/>
          <w:tab w:val="left" w:pos="420"/>
        </w:tabs>
        <w:ind w:firstLine="420" w:firstLineChars="200"/>
        <w:rPr>
          <w:color w:val="auto"/>
          <w:sz w:val="21"/>
          <w:szCs w:val="21"/>
        </w:rPr>
      </w:pPr>
      <w:r>
        <w:rPr>
          <w:rFonts w:hint="eastAsia" w:ascii="宋体" w:hAnsi="宋体" w:cs="宋体"/>
          <w:color w:val="auto"/>
          <w:sz w:val="21"/>
          <w:szCs w:val="21"/>
        </w:rPr>
        <w:t xml:space="preserve">④ </w:t>
      </w:r>
      <w:r>
        <w:rPr>
          <w:rFonts w:hint="eastAsia"/>
          <w:color w:val="auto"/>
          <w:sz w:val="21"/>
          <w:szCs w:val="21"/>
        </w:rPr>
        <w:t>提供标准的设备维护工具</w:t>
      </w:r>
      <w:r>
        <w:rPr>
          <w:color w:val="auto"/>
          <w:sz w:val="21"/>
          <w:szCs w:val="21"/>
        </w:rPr>
        <w:t>；</w:t>
      </w:r>
    </w:p>
    <w:p w14:paraId="0D2D1DFB">
      <w:pPr>
        <w:tabs>
          <w:tab w:val="left" w:pos="360"/>
          <w:tab w:val="left" w:pos="420"/>
        </w:tabs>
        <w:ind w:firstLine="420" w:firstLineChars="200"/>
        <w:rPr>
          <w:color w:val="auto"/>
          <w:sz w:val="21"/>
          <w:szCs w:val="21"/>
        </w:rPr>
      </w:pPr>
      <w:r>
        <w:rPr>
          <w:rFonts w:hint="eastAsia" w:ascii="宋体" w:hAnsi="宋体" w:cs="宋体"/>
          <w:color w:val="auto"/>
          <w:sz w:val="21"/>
          <w:szCs w:val="21"/>
        </w:rPr>
        <w:t xml:space="preserve">⑤ </w:t>
      </w:r>
      <w:r>
        <w:rPr>
          <w:rFonts w:hint="eastAsia"/>
          <w:color w:val="auto"/>
          <w:sz w:val="21"/>
          <w:szCs w:val="21"/>
        </w:rPr>
        <w:t>提供可供参考的维护模式及维护周期</w:t>
      </w:r>
      <w:r>
        <w:rPr>
          <w:color w:val="auto"/>
          <w:sz w:val="21"/>
          <w:szCs w:val="21"/>
        </w:rPr>
        <w:t>；</w:t>
      </w:r>
    </w:p>
    <w:p w14:paraId="16E3DF6F">
      <w:pPr>
        <w:tabs>
          <w:tab w:val="left" w:pos="360"/>
          <w:tab w:val="left" w:pos="420"/>
        </w:tabs>
        <w:ind w:firstLine="420" w:firstLineChars="200"/>
        <w:rPr>
          <w:color w:val="auto"/>
          <w:sz w:val="21"/>
          <w:szCs w:val="21"/>
        </w:rPr>
      </w:pPr>
      <w:r>
        <w:rPr>
          <w:rFonts w:hint="eastAsia"/>
          <w:color w:val="auto"/>
          <w:sz w:val="21"/>
          <w:szCs w:val="21"/>
        </w:rPr>
        <w:t>⑥ 各类故障识别、分析及排除。</w:t>
      </w:r>
    </w:p>
    <w:p w14:paraId="3EFF501C">
      <w:pPr>
        <w:ind w:firstLine="422" w:firstLineChars="200"/>
        <w:outlineLvl w:val="2"/>
        <w:rPr>
          <w:b/>
          <w:color w:val="auto"/>
          <w:sz w:val="21"/>
          <w:szCs w:val="21"/>
        </w:rPr>
      </w:pPr>
      <w:r>
        <w:rPr>
          <w:b/>
          <w:color w:val="auto"/>
          <w:sz w:val="21"/>
          <w:szCs w:val="21"/>
        </w:rPr>
        <w:t>（三）技术指导及技术支援</w:t>
      </w:r>
    </w:p>
    <w:p w14:paraId="63B11125">
      <w:pPr>
        <w:tabs>
          <w:tab w:val="left" w:pos="360"/>
          <w:tab w:val="left" w:pos="420"/>
        </w:tabs>
        <w:ind w:firstLine="420" w:firstLineChars="200"/>
        <w:rPr>
          <w:color w:val="auto"/>
          <w:sz w:val="21"/>
          <w:szCs w:val="21"/>
        </w:rPr>
      </w:pPr>
      <w:r>
        <w:rPr>
          <w:rFonts w:hint="eastAsia"/>
          <w:color w:val="auto"/>
          <w:sz w:val="21"/>
          <w:szCs w:val="21"/>
        </w:rPr>
        <w:t>1</w:t>
      </w:r>
      <w:r>
        <w:rPr>
          <w:color w:val="auto"/>
          <w:sz w:val="21"/>
          <w:szCs w:val="21"/>
        </w:rPr>
        <w:t>．</w:t>
      </w:r>
      <w:r>
        <w:rPr>
          <w:rFonts w:hint="eastAsia"/>
          <w:color w:val="auto"/>
          <w:sz w:val="21"/>
          <w:szCs w:val="21"/>
        </w:rPr>
        <w:t>投标方应说明其可能提供的技术指导及技术支援的范围与程度。</w:t>
      </w:r>
    </w:p>
    <w:p w14:paraId="1AEBA384">
      <w:pPr>
        <w:tabs>
          <w:tab w:val="left" w:pos="360"/>
          <w:tab w:val="left" w:pos="420"/>
        </w:tabs>
        <w:ind w:firstLine="420" w:firstLineChars="200"/>
        <w:rPr>
          <w:color w:val="auto"/>
          <w:sz w:val="21"/>
          <w:szCs w:val="21"/>
        </w:rPr>
      </w:pPr>
      <w:r>
        <w:rPr>
          <w:rFonts w:hint="eastAsia"/>
          <w:color w:val="auto"/>
          <w:sz w:val="21"/>
          <w:szCs w:val="21"/>
        </w:rPr>
        <w:t>2</w:t>
      </w:r>
      <w:r>
        <w:rPr>
          <w:color w:val="auto"/>
          <w:sz w:val="21"/>
          <w:szCs w:val="21"/>
        </w:rPr>
        <w:t>．</w:t>
      </w:r>
      <w:r>
        <w:rPr>
          <w:rFonts w:hint="eastAsia"/>
          <w:color w:val="auto"/>
          <w:sz w:val="21"/>
          <w:szCs w:val="21"/>
        </w:rPr>
        <w:t>工程设计技术支援</w:t>
      </w:r>
    </w:p>
    <w:p w14:paraId="5CECC815">
      <w:pPr>
        <w:tabs>
          <w:tab w:val="left" w:pos="360"/>
          <w:tab w:val="left" w:pos="420"/>
        </w:tabs>
        <w:ind w:firstLine="420" w:firstLineChars="200"/>
        <w:rPr>
          <w:color w:val="auto"/>
          <w:sz w:val="21"/>
          <w:szCs w:val="21"/>
        </w:rPr>
      </w:pPr>
      <w:r>
        <w:rPr>
          <w:rFonts w:hint="eastAsia" w:ascii="宋体" w:hAnsi="宋体" w:cs="宋体"/>
          <w:color w:val="auto"/>
          <w:sz w:val="21"/>
          <w:szCs w:val="21"/>
        </w:rPr>
        <w:t xml:space="preserve">① </w:t>
      </w:r>
      <w:r>
        <w:rPr>
          <w:rFonts w:hint="eastAsia"/>
          <w:color w:val="auto"/>
          <w:sz w:val="21"/>
          <w:szCs w:val="21"/>
        </w:rPr>
        <w:t>招标人在工程设计过程中，需要调整投标人提供的设备时，投标人应协助更改设备数量。</w:t>
      </w:r>
    </w:p>
    <w:p w14:paraId="02C4B243">
      <w:pPr>
        <w:tabs>
          <w:tab w:val="left" w:pos="360"/>
          <w:tab w:val="left" w:pos="420"/>
        </w:tabs>
        <w:ind w:firstLine="420" w:firstLineChars="200"/>
        <w:rPr>
          <w:color w:val="auto"/>
          <w:sz w:val="21"/>
          <w:szCs w:val="21"/>
        </w:rPr>
      </w:pPr>
      <w:r>
        <w:rPr>
          <w:rFonts w:hint="eastAsia" w:ascii="宋体" w:hAnsi="宋体" w:cs="宋体"/>
          <w:color w:val="auto"/>
          <w:sz w:val="21"/>
          <w:szCs w:val="21"/>
        </w:rPr>
        <w:t xml:space="preserve">② </w:t>
      </w:r>
      <w:r>
        <w:rPr>
          <w:rFonts w:hint="eastAsia"/>
          <w:color w:val="auto"/>
          <w:sz w:val="21"/>
          <w:szCs w:val="21"/>
        </w:rPr>
        <w:t>招标人在工程设计过程中可随时向投标人提出有关设备性能方面的技术咨询，投标人应负责及时解答并提供工程设计所需各项技术资料。</w:t>
      </w:r>
    </w:p>
    <w:p w14:paraId="4EF765A4">
      <w:pPr>
        <w:tabs>
          <w:tab w:val="left" w:pos="360"/>
          <w:tab w:val="left" w:pos="420"/>
        </w:tabs>
        <w:ind w:firstLine="420" w:firstLineChars="200"/>
        <w:rPr>
          <w:color w:val="auto"/>
          <w:sz w:val="21"/>
          <w:szCs w:val="21"/>
        </w:rPr>
      </w:pPr>
      <w:r>
        <w:rPr>
          <w:rFonts w:hint="eastAsia" w:ascii="宋体" w:hAnsi="宋体" w:cs="宋体"/>
          <w:color w:val="auto"/>
          <w:sz w:val="21"/>
          <w:szCs w:val="21"/>
        </w:rPr>
        <w:t xml:space="preserve">③ </w:t>
      </w:r>
      <w:r>
        <w:rPr>
          <w:rFonts w:hint="eastAsia"/>
          <w:color w:val="auto"/>
          <w:sz w:val="21"/>
          <w:szCs w:val="21"/>
        </w:rPr>
        <w:t>除需要增加的设备费用外，工程设计技术支援不增加额外的服务费用。</w:t>
      </w:r>
    </w:p>
    <w:p w14:paraId="0403325B">
      <w:pPr>
        <w:tabs>
          <w:tab w:val="left" w:pos="360"/>
          <w:tab w:val="left" w:pos="420"/>
        </w:tabs>
        <w:ind w:firstLine="420" w:firstLineChars="200"/>
        <w:rPr>
          <w:color w:val="auto"/>
          <w:sz w:val="21"/>
          <w:szCs w:val="21"/>
        </w:rPr>
      </w:pPr>
      <w:r>
        <w:rPr>
          <w:rFonts w:hint="eastAsia"/>
          <w:color w:val="auto"/>
          <w:sz w:val="21"/>
          <w:szCs w:val="21"/>
        </w:rPr>
        <w:t>3</w:t>
      </w:r>
      <w:r>
        <w:rPr>
          <w:color w:val="auto"/>
          <w:sz w:val="21"/>
          <w:szCs w:val="21"/>
        </w:rPr>
        <w:t>．</w:t>
      </w:r>
      <w:r>
        <w:rPr>
          <w:rFonts w:hint="eastAsia"/>
          <w:color w:val="auto"/>
          <w:sz w:val="21"/>
          <w:szCs w:val="21"/>
        </w:rPr>
        <w:t>设计联络</w:t>
      </w:r>
    </w:p>
    <w:p w14:paraId="09AF7526">
      <w:pPr>
        <w:tabs>
          <w:tab w:val="left" w:pos="360"/>
          <w:tab w:val="left" w:pos="420"/>
        </w:tabs>
        <w:ind w:firstLine="420" w:firstLineChars="200"/>
        <w:rPr>
          <w:color w:val="auto"/>
          <w:sz w:val="21"/>
          <w:szCs w:val="21"/>
        </w:rPr>
      </w:pPr>
      <w:r>
        <w:rPr>
          <w:rFonts w:hint="eastAsia"/>
          <w:color w:val="auto"/>
          <w:sz w:val="21"/>
          <w:szCs w:val="21"/>
        </w:rPr>
        <w:t>根据工程进度，投标人应负责进行设计联络、并负责组织工程设计联络会议而产生的费用（包括交通费、食宿、会务等费用）。设计联络会议的具体召开时间和地点由招标人确定。投标人应保证在招标人进行工程设计全过程提供技术支援，并确保工程设计的顺利进行。</w:t>
      </w:r>
    </w:p>
    <w:p w14:paraId="2B2DED1A">
      <w:pPr>
        <w:tabs>
          <w:tab w:val="left" w:pos="360"/>
          <w:tab w:val="left" w:pos="420"/>
        </w:tabs>
        <w:ind w:firstLine="420" w:firstLineChars="200"/>
        <w:rPr>
          <w:color w:val="auto"/>
          <w:sz w:val="21"/>
          <w:szCs w:val="21"/>
        </w:rPr>
      </w:pPr>
      <w:r>
        <w:rPr>
          <w:color w:val="auto"/>
          <w:sz w:val="21"/>
          <w:szCs w:val="21"/>
        </w:rPr>
        <w:t>设计联络会需要讨论和确认的内容包括但不限于：</w:t>
      </w:r>
    </w:p>
    <w:p w14:paraId="1BEDBE10">
      <w:pPr>
        <w:tabs>
          <w:tab w:val="left" w:pos="360"/>
          <w:tab w:val="left" w:pos="420"/>
        </w:tabs>
        <w:ind w:firstLine="420" w:firstLineChars="200"/>
        <w:rPr>
          <w:color w:val="auto"/>
          <w:sz w:val="21"/>
          <w:szCs w:val="21"/>
        </w:rPr>
      </w:pPr>
      <w:r>
        <w:rPr>
          <w:rFonts w:hint="eastAsia" w:ascii="宋体" w:hAnsi="宋体" w:cs="宋体"/>
          <w:color w:val="auto"/>
          <w:sz w:val="21"/>
          <w:szCs w:val="21"/>
        </w:rPr>
        <w:t xml:space="preserve">① </w:t>
      </w:r>
      <w:r>
        <w:rPr>
          <w:color w:val="auto"/>
          <w:sz w:val="21"/>
          <w:szCs w:val="21"/>
        </w:rPr>
        <w:t>设备技术规格；</w:t>
      </w:r>
    </w:p>
    <w:p w14:paraId="0AA12776">
      <w:pPr>
        <w:tabs>
          <w:tab w:val="left" w:pos="360"/>
          <w:tab w:val="left" w:pos="420"/>
        </w:tabs>
        <w:ind w:firstLine="420" w:firstLineChars="200"/>
        <w:rPr>
          <w:color w:val="auto"/>
          <w:sz w:val="21"/>
          <w:szCs w:val="21"/>
        </w:rPr>
      </w:pPr>
      <w:r>
        <w:rPr>
          <w:rFonts w:hint="eastAsia" w:ascii="宋体" w:hAnsi="宋体" w:cs="宋体"/>
          <w:color w:val="auto"/>
          <w:sz w:val="21"/>
          <w:szCs w:val="21"/>
        </w:rPr>
        <w:t xml:space="preserve">② </w:t>
      </w:r>
      <w:r>
        <w:rPr>
          <w:color w:val="auto"/>
          <w:sz w:val="21"/>
          <w:szCs w:val="21"/>
        </w:rPr>
        <w:t>控制进度计划及供货计划、供货设备材料数量及交货时间安排计划；</w:t>
      </w:r>
    </w:p>
    <w:p w14:paraId="63737D75">
      <w:pPr>
        <w:tabs>
          <w:tab w:val="left" w:pos="360"/>
          <w:tab w:val="left" w:pos="420"/>
        </w:tabs>
        <w:ind w:firstLine="420" w:firstLineChars="200"/>
        <w:rPr>
          <w:color w:val="auto"/>
          <w:sz w:val="21"/>
          <w:szCs w:val="21"/>
        </w:rPr>
      </w:pPr>
      <w:r>
        <w:rPr>
          <w:rFonts w:hint="eastAsia" w:ascii="宋体" w:hAnsi="宋体" w:cs="宋体"/>
          <w:color w:val="auto"/>
          <w:sz w:val="21"/>
          <w:szCs w:val="21"/>
        </w:rPr>
        <w:t xml:space="preserve">③ </w:t>
      </w:r>
      <w:r>
        <w:rPr>
          <w:color w:val="auto"/>
          <w:sz w:val="21"/>
          <w:szCs w:val="21"/>
        </w:rPr>
        <w:t>试验工作及安排；</w:t>
      </w:r>
    </w:p>
    <w:p w14:paraId="60A0D60E">
      <w:pPr>
        <w:tabs>
          <w:tab w:val="left" w:pos="360"/>
          <w:tab w:val="left" w:pos="420"/>
        </w:tabs>
        <w:ind w:firstLine="420" w:firstLineChars="200"/>
        <w:rPr>
          <w:color w:val="auto"/>
          <w:sz w:val="21"/>
          <w:szCs w:val="21"/>
        </w:rPr>
      </w:pPr>
      <w:r>
        <w:rPr>
          <w:rFonts w:hint="eastAsia" w:ascii="宋体" w:hAnsi="宋体" w:cs="宋体"/>
          <w:color w:val="auto"/>
          <w:sz w:val="21"/>
          <w:szCs w:val="21"/>
        </w:rPr>
        <w:t xml:space="preserve">④ </w:t>
      </w:r>
      <w:r>
        <w:rPr>
          <w:color w:val="auto"/>
          <w:sz w:val="21"/>
          <w:szCs w:val="21"/>
        </w:rPr>
        <w:t>工程设计所需要的技术资料；</w:t>
      </w:r>
    </w:p>
    <w:p w14:paraId="1540CE26">
      <w:pPr>
        <w:tabs>
          <w:tab w:val="left" w:pos="360"/>
          <w:tab w:val="left" w:pos="420"/>
        </w:tabs>
        <w:ind w:firstLine="420" w:firstLineChars="200"/>
        <w:rPr>
          <w:color w:val="auto"/>
          <w:sz w:val="21"/>
          <w:szCs w:val="21"/>
        </w:rPr>
      </w:pPr>
      <w:r>
        <w:rPr>
          <w:rFonts w:hint="eastAsia" w:ascii="宋体" w:hAnsi="宋体" w:cs="宋体"/>
          <w:color w:val="auto"/>
          <w:sz w:val="21"/>
          <w:szCs w:val="21"/>
        </w:rPr>
        <w:t xml:space="preserve">⑤ </w:t>
      </w:r>
      <w:r>
        <w:rPr>
          <w:color w:val="auto"/>
          <w:sz w:val="21"/>
          <w:szCs w:val="21"/>
        </w:rPr>
        <w:t>施工单位要求的文件。</w:t>
      </w:r>
    </w:p>
    <w:p w14:paraId="72315354">
      <w:pPr>
        <w:tabs>
          <w:tab w:val="left" w:pos="360"/>
          <w:tab w:val="left" w:pos="420"/>
        </w:tabs>
        <w:ind w:firstLine="420" w:firstLineChars="200"/>
        <w:rPr>
          <w:color w:val="auto"/>
          <w:sz w:val="21"/>
          <w:szCs w:val="21"/>
        </w:rPr>
      </w:pPr>
      <w:r>
        <w:rPr>
          <w:color w:val="auto"/>
          <w:sz w:val="21"/>
          <w:szCs w:val="21"/>
        </w:rPr>
        <w:t>设计联络会中讨论的情况和做出的决定，由招标人记录、整理，并做出会议纪要，经</w:t>
      </w:r>
      <w:r>
        <w:rPr>
          <w:rFonts w:hint="eastAsia"/>
          <w:color w:val="auto"/>
          <w:sz w:val="21"/>
          <w:szCs w:val="21"/>
        </w:rPr>
        <w:t>各</w:t>
      </w:r>
      <w:r>
        <w:rPr>
          <w:color w:val="auto"/>
          <w:sz w:val="21"/>
          <w:szCs w:val="21"/>
        </w:rPr>
        <w:t>方签字确认。</w:t>
      </w:r>
    </w:p>
    <w:p w14:paraId="6956C150">
      <w:pPr>
        <w:tabs>
          <w:tab w:val="left" w:pos="360"/>
          <w:tab w:val="left" w:pos="420"/>
        </w:tabs>
        <w:ind w:firstLine="420" w:firstLineChars="200"/>
        <w:rPr>
          <w:color w:val="auto"/>
          <w:sz w:val="21"/>
          <w:szCs w:val="21"/>
        </w:rPr>
      </w:pPr>
      <w:r>
        <w:rPr>
          <w:rFonts w:hint="eastAsia"/>
          <w:color w:val="auto"/>
          <w:sz w:val="21"/>
          <w:szCs w:val="21"/>
        </w:rPr>
        <w:t>4</w:t>
      </w:r>
      <w:r>
        <w:rPr>
          <w:color w:val="auto"/>
          <w:sz w:val="21"/>
          <w:szCs w:val="21"/>
        </w:rPr>
        <w:t>．</w:t>
      </w:r>
      <w:r>
        <w:rPr>
          <w:rFonts w:hint="eastAsia"/>
          <w:color w:val="auto"/>
          <w:sz w:val="21"/>
          <w:szCs w:val="21"/>
        </w:rPr>
        <w:t>在安装和质保期内，任何由产品的设计、制造、安装工程等缺陷而发生的设备修改，由投标人免费更换或修改。投标人将承担由于产品质量问题导致的运营事故带来的损失。</w:t>
      </w:r>
    </w:p>
    <w:p w14:paraId="40430762">
      <w:pPr>
        <w:tabs>
          <w:tab w:val="left" w:pos="360"/>
          <w:tab w:val="left" w:pos="420"/>
        </w:tabs>
        <w:ind w:firstLine="420" w:firstLineChars="200"/>
        <w:rPr>
          <w:color w:val="auto"/>
          <w:sz w:val="21"/>
          <w:szCs w:val="21"/>
        </w:rPr>
      </w:pPr>
      <w:r>
        <w:rPr>
          <w:rFonts w:hint="eastAsia"/>
          <w:color w:val="auto"/>
          <w:sz w:val="21"/>
          <w:szCs w:val="21"/>
        </w:rPr>
        <w:t>5</w:t>
      </w:r>
      <w:r>
        <w:rPr>
          <w:color w:val="auto"/>
          <w:sz w:val="21"/>
          <w:szCs w:val="21"/>
        </w:rPr>
        <w:t>．</w:t>
      </w:r>
      <w:r>
        <w:rPr>
          <w:rFonts w:hint="eastAsia"/>
          <w:color w:val="auto"/>
          <w:sz w:val="21"/>
          <w:szCs w:val="21"/>
        </w:rPr>
        <w:t>投标方应提供设备安装以及系统调试的技术，并提供安装和测试有关的工具仪器（仪表），还应负责安装技术指导工作。</w:t>
      </w:r>
    </w:p>
    <w:p w14:paraId="667F14F7">
      <w:pPr>
        <w:tabs>
          <w:tab w:val="left" w:pos="360"/>
          <w:tab w:val="left" w:pos="420"/>
        </w:tabs>
        <w:ind w:firstLine="420" w:firstLineChars="200"/>
        <w:rPr>
          <w:color w:val="auto"/>
          <w:sz w:val="21"/>
          <w:szCs w:val="21"/>
        </w:rPr>
      </w:pPr>
      <w:r>
        <w:rPr>
          <w:rFonts w:hint="eastAsia"/>
          <w:color w:val="auto"/>
          <w:sz w:val="21"/>
          <w:szCs w:val="21"/>
        </w:rPr>
        <w:t>6</w:t>
      </w:r>
      <w:r>
        <w:rPr>
          <w:color w:val="auto"/>
          <w:sz w:val="21"/>
          <w:szCs w:val="21"/>
        </w:rPr>
        <w:t>．</w:t>
      </w:r>
      <w:r>
        <w:rPr>
          <w:rFonts w:hint="eastAsia"/>
          <w:color w:val="auto"/>
          <w:sz w:val="21"/>
          <w:szCs w:val="21"/>
        </w:rPr>
        <w:t>投标人所提供的设备在试用期内发生任何问题，投标人应免费提供招标人所需的技术与其他支援；</w:t>
      </w:r>
      <w:r>
        <w:rPr>
          <w:color w:val="auto"/>
          <w:sz w:val="21"/>
          <w:szCs w:val="21"/>
        </w:rPr>
        <w:t xml:space="preserve"> </w:t>
      </w:r>
      <w:r>
        <w:rPr>
          <w:rFonts w:hint="eastAsia"/>
          <w:color w:val="auto"/>
          <w:sz w:val="21"/>
          <w:szCs w:val="21"/>
        </w:rPr>
        <w:t>投标人应有终身提供设备维护及维修所需的元器件的义务。</w:t>
      </w:r>
    </w:p>
    <w:p w14:paraId="345423D2">
      <w:pPr>
        <w:spacing w:line="480" w:lineRule="auto"/>
        <w:ind w:firstLine="420" w:firstLineChars="200"/>
        <w:outlineLvl w:val="1"/>
        <w:rPr>
          <w:rFonts w:eastAsia="黑体"/>
          <w:color w:val="auto"/>
          <w:sz w:val="21"/>
          <w:szCs w:val="21"/>
        </w:rPr>
      </w:pPr>
      <w:r>
        <w:rPr>
          <w:rFonts w:hint="eastAsia" w:eastAsia="黑体"/>
          <w:color w:val="auto"/>
          <w:sz w:val="21"/>
          <w:szCs w:val="21"/>
        </w:rPr>
        <w:t>十二</w:t>
      </w:r>
      <w:r>
        <w:rPr>
          <w:rFonts w:eastAsia="黑体"/>
          <w:color w:val="auto"/>
          <w:sz w:val="21"/>
          <w:szCs w:val="21"/>
        </w:rPr>
        <w:t>、</w:t>
      </w:r>
      <w:r>
        <w:rPr>
          <w:rFonts w:hint="eastAsia" w:eastAsia="黑体"/>
          <w:bCs/>
          <w:color w:val="auto"/>
          <w:sz w:val="21"/>
          <w:szCs w:val="21"/>
        </w:rPr>
        <w:t>质量保证</w:t>
      </w:r>
    </w:p>
    <w:p w14:paraId="1AEEEBD5">
      <w:pPr>
        <w:tabs>
          <w:tab w:val="left" w:pos="360"/>
          <w:tab w:val="left" w:pos="420"/>
        </w:tabs>
        <w:ind w:firstLine="420" w:firstLineChars="200"/>
        <w:rPr>
          <w:color w:val="auto"/>
          <w:sz w:val="21"/>
          <w:szCs w:val="21"/>
        </w:rPr>
      </w:pPr>
      <w:r>
        <w:rPr>
          <w:rFonts w:hint="eastAsia"/>
          <w:color w:val="auto"/>
          <w:sz w:val="21"/>
          <w:szCs w:val="21"/>
        </w:rPr>
        <w:t>1</w:t>
      </w:r>
      <w:r>
        <w:rPr>
          <w:color w:val="auto"/>
          <w:sz w:val="21"/>
          <w:szCs w:val="21"/>
        </w:rPr>
        <w:t>．</w:t>
      </w:r>
      <w:r>
        <w:rPr>
          <w:rFonts w:hint="eastAsia"/>
          <w:color w:val="auto"/>
          <w:sz w:val="21"/>
          <w:szCs w:val="21"/>
        </w:rPr>
        <w:t>投标人应保证产品质量，各项性能指标应完全达到本招标文件的技术条件，其中包括设备的型号、商标和目录号。</w:t>
      </w:r>
    </w:p>
    <w:p w14:paraId="5ADA1B3A">
      <w:pPr>
        <w:tabs>
          <w:tab w:val="left" w:pos="360"/>
          <w:tab w:val="left" w:pos="420"/>
        </w:tabs>
        <w:ind w:firstLine="420" w:firstLineChars="200"/>
        <w:rPr>
          <w:color w:val="auto"/>
          <w:sz w:val="21"/>
          <w:szCs w:val="21"/>
        </w:rPr>
      </w:pPr>
      <w:r>
        <w:rPr>
          <w:rFonts w:hint="eastAsia"/>
          <w:color w:val="auto"/>
          <w:sz w:val="21"/>
          <w:szCs w:val="21"/>
        </w:rPr>
        <w:t>2</w:t>
      </w:r>
      <w:r>
        <w:rPr>
          <w:color w:val="auto"/>
          <w:sz w:val="21"/>
          <w:szCs w:val="21"/>
        </w:rPr>
        <w:t>．</w:t>
      </w:r>
      <w:r>
        <w:rPr>
          <w:rFonts w:hint="eastAsia"/>
          <w:color w:val="auto"/>
          <w:sz w:val="21"/>
          <w:szCs w:val="21"/>
        </w:rPr>
        <w:t>设备的质保期为开通验收后2年。</w:t>
      </w:r>
    </w:p>
    <w:p w14:paraId="7C535988">
      <w:pPr>
        <w:tabs>
          <w:tab w:val="left" w:pos="360"/>
          <w:tab w:val="left" w:pos="420"/>
        </w:tabs>
        <w:ind w:firstLine="420" w:firstLineChars="200"/>
        <w:rPr>
          <w:color w:val="auto"/>
          <w:sz w:val="21"/>
          <w:szCs w:val="21"/>
        </w:rPr>
      </w:pPr>
      <w:r>
        <w:rPr>
          <w:rFonts w:hint="eastAsia"/>
          <w:color w:val="auto"/>
          <w:sz w:val="21"/>
          <w:szCs w:val="21"/>
        </w:rPr>
        <w:t>3</w:t>
      </w:r>
      <w:r>
        <w:rPr>
          <w:color w:val="auto"/>
          <w:sz w:val="21"/>
          <w:szCs w:val="21"/>
        </w:rPr>
        <w:t>．</w:t>
      </w:r>
      <w:r>
        <w:rPr>
          <w:rFonts w:hint="eastAsia"/>
          <w:color w:val="auto"/>
          <w:sz w:val="21"/>
          <w:szCs w:val="21"/>
        </w:rPr>
        <w:t>在质量保证期内，如果现场发生系统故障，</w:t>
      </w:r>
      <w:r>
        <w:rPr>
          <w:color w:val="auto"/>
          <w:sz w:val="21"/>
          <w:szCs w:val="21"/>
        </w:rPr>
        <w:t>投标人应在接到招标人通知</w:t>
      </w:r>
      <w:r>
        <w:rPr>
          <w:rFonts w:hint="eastAsia"/>
          <w:color w:val="auto"/>
          <w:sz w:val="21"/>
          <w:szCs w:val="21"/>
        </w:rPr>
        <w:t>后根据故障级别，提供现场服务响应时间安排，</w:t>
      </w:r>
      <w:r>
        <w:rPr>
          <w:color w:val="auto"/>
          <w:sz w:val="21"/>
          <w:szCs w:val="21"/>
        </w:rPr>
        <w:t>派人到现场处理事故。</w:t>
      </w:r>
      <w:r>
        <w:rPr>
          <w:rFonts w:hint="eastAsia"/>
          <w:color w:val="auto"/>
          <w:sz w:val="21"/>
          <w:szCs w:val="21"/>
        </w:rPr>
        <w:t>同时</w:t>
      </w:r>
      <w:r>
        <w:rPr>
          <w:color w:val="auto"/>
          <w:sz w:val="21"/>
          <w:szCs w:val="21"/>
        </w:rPr>
        <w:t>应负责修理或更换故障设备，属投标人责任的，其费用由投标人承担。发生故障设备的质量保证期应从故障处理后重新算起。</w:t>
      </w:r>
    </w:p>
    <w:p w14:paraId="249EB1F7">
      <w:pPr>
        <w:tabs>
          <w:tab w:val="left" w:pos="360"/>
          <w:tab w:val="left" w:pos="420"/>
        </w:tabs>
        <w:ind w:firstLine="420" w:firstLineChars="200"/>
        <w:rPr>
          <w:color w:val="auto"/>
          <w:sz w:val="21"/>
          <w:szCs w:val="21"/>
        </w:rPr>
      </w:pPr>
      <w:r>
        <w:rPr>
          <w:rFonts w:hint="eastAsia"/>
          <w:color w:val="auto"/>
          <w:sz w:val="21"/>
          <w:szCs w:val="21"/>
        </w:rPr>
        <w:t>4</w:t>
      </w:r>
      <w:r>
        <w:rPr>
          <w:color w:val="auto"/>
          <w:sz w:val="21"/>
          <w:szCs w:val="21"/>
        </w:rPr>
        <w:t>．</w:t>
      </w:r>
      <w:r>
        <w:rPr>
          <w:rFonts w:hint="eastAsia"/>
          <w:color w:val="auto"/>
          <w:sz w:val="21"/>
          <w:szCs w:val="21"/>
        </w:rPr>
        <w:t>在质保期内，投标人应按招标人的要求免费派出技术人员到现场对招标人人员的日常维护给予技术指导。</w:t>
      </w:r>
    </w:p>
    <w:p w14:paraId="771E186F">
      <w:pPr>
        <w:tabs>
          <w:tab w:val="left" w:pos="360"/>
          <w:tab w:val="left" w:pos="420"/>
        </w:tabs>
        <w:ind w:firstLine="420" w:firstLineChars="200"/>
        <w:rPr>
          <w:color w:val="auto"/>
          <w:sz w:val="21"/>
          <w:szCs w:val="21"/>
        </w:rPr>
      </w:pPr>
      <w:r>
        <w:rPr>
          <w:rFonts w:hint="eastAsia"/>
          <w:color w:val="auto"/>
          <w:sz w:val="21"/>
          <w:szCs w:val="21"/>
        </w:rPr>
        <w:t>5</w:t>
      </w:r>
      <w:r>
        <w:rPr>
          <w:color w:val="auto"/>
          <w:sz w:val="21"/>
          <w:szCs w:val="21"/>
        </w:rPr>
        <w:t>．</w:t>
      </w:r>
      <w:r>
        <w:rPr>
          <w:rFonts w:hint="eastAsia"/>
          <w:color w:val="auto"/>
          <w:sz w:val="21"/>
          <w:szCs w:val="21"/>
        </w:rPr>
        <w:t>招标人在质量保证期满后的30天内签发的索赔文件均为有效文件。</w:t>
      </w:r>
    </w:p>
    <w:p w14:paraId="589C5402">
      <w:pPr>
        <w:tabs>
          <w:tab w:val="left" w:pos="360"/>
          <w:tab w:val="left" w:pos="420"/>
        </w:tabs>
        <w:ind w:firstLine="420" w:firstLineChars="200"/>
        <w:rPr>
          <w:color w:val="auto"/>
          <w:sz w:val="21"/>
          <w:szCs w:val="21"/>
        </w:rPr>
      </w:pPr>
      <w:r>
        <w:rPr>
          <w:rFonts w:hint="eastAsia"/>
          <w:color w:val="auto"/>
          <w:sz w:val="21"/>
          <w:szCs w:val="21"/>
        </w:rPr>
        <w:t>6</w:t>
      </w:r>
      <w:r>
        <w:rPr>
          <w:color w:val="auto"/>
          <w:sz w:val="21"/>
          <w:szCs w:val="21"/>
        </w:rPr>
        <w:t>．</w:t>
      </w:r>
      <w:r>
        <w:rPr>
          <w:rFonts w:hint="eastAsia"/>
          <w:color w:val="auto"/>
          <w:sz w:val="21"/>
          <w:szCs w:val="21"/>
        </w:rPr>
        <w:t>对产品施工工艺有要求时，投标人应在投标文件中注明。未注明的，视为认同施工单位的施工工艺。</w:t>
      </w:r>
    </w:p>
    <w:p w14:paraId="004FA9F8">
      <w:pPr>
        <w:tabs>
          <w:tab w:val="left" w:pos="360"/>
          <w:tab w:val="left" w:pos="420"/>
        </w:tabs>
        <w:ind w:firstLine="420" w:firstLineChars="200"/>
        <w:rPr>
          <w:color w:val="auto"/>
          <w:sz w:val="21"/>
          <w:szCs w:val="21"/>
        </w:rPr>
      </w:pPr>
      <w:r>
        <w:rPr>
          <w:rFonts w:hint="eastAsia"/>
          <w:color w:val="auto"/>
          <w:sz w:val="21"/>
          <w:szCs w:val="21"/>
        </w:rPr>
        <w:t>7</w:t>
      </w:r>
      <w:r>
        <w:rPr>
          <w:color w:val="auto"/>
          <w:sz w:val="21"/>
          <w:szCs w:val="21"/>
        </w:rPr>
        <w:t>．</w:t>
      </w:r>
      <w:r>
        <w:rPr>
          <w:rFonts w:hint="eastAsia"/>
          <w:color w:val="auto"/>
          <w:sz w:val="21"/>
          <w:szCs w:val="21"/>
        </w:rPr>
        <w:t>对产品维护有要求时，投标人应在投标文件中注明。未注明的，视为认同运营维护单位的维护方案。</w:t>
      </w:r>
    </w:p>
    <w:p w14:paraId="0B384F63">
      <w:pPr>
        <w:tabs>
          <w:tab w:val="left" w:pos="360"/>
          <w:tab w:val="left" w:pos="420"/>
        </w:tabs>
        <w:ind w:firstLine="420" w:firstLineChars="200"/>
        <w:rPr>
          <w:color w:val="auto"/>
          <w:sz w:val="21"/>
          <w:szCs w:val="21"/>
        </w:rPr>
      </w:pPr>
      <w:r>
        <w:rPr>
          <w:rFonts w:hint="eastAsia"/>
          <w:color w:val="auto"/>
          <w:sz w:val="21"/>
          <w:szCs w:val="21"/>
        </w:rPr>
        <w:t>8</w:t>
      </w:r>
      <w:r>
        <w:rPr>
          <w:color w:val="auto"/>
          <w:sz w:val="21"/>
          <w:szCs w:val="21"/>
        </w:rPr>
        <w:t>．</w:t>
      </w:r>
      <w:r>
        <w:rPr>
          <w:rFonts w:hint="eastAsia"/>
          <w:color w:val="auto"/>
          <w:sz w:val="21"/>
          <w:szCs w:val="21"/>
        </w:rPr>
        <w:t>在本技术规格书及技术联络所确定的应用条件内（含环境条件、速度、张力、使用年限等），产品由于自身缺陷故障，投标人必须独自承担由此导致的损失。这一责任不因本技术规格书某一技术参数的偏差而减少。认为本技术规格书个别参数存在偏差时，应书面提出完善建议并要求招标人澄清。</w:t>
      </w:r>
    </w:p>
    <w:p w14:paraId="0A4A369A">
      <w:pPr>
        <w:tabs>
          <w:tab w:val="left" w:pos="360"/>
          <w:tab w:val="left" w:pos="420"/>
        </w:tabs>
        <w:ind w:firstLine="420" w:firstLineChars="200"/>
        <w:rPr>
          <w:color w:val="auto"/>
          <w:sz w:val="21"/>
          <w:szCs w:val="21"/>
        </w:rPr>
      </w:pPr>
      <w:r>
        <w:rPr>
          <w:rFonts w:hint="eastAsia"/>
          <w:color w:val="auto"/>
          <w:sz w:val="21"/>
          <w:szCs w:val="21"/>
        </w:rPr>
        <w:t>9</w:t>
      </w:r>
      <w:r>
        <w:rPr>
          <w:color w:val="auto"/>
          <w:sz w:val="21"/>
          <w:szCs w:val="21"/>
        </w:rPr>
        <w:t>．</w:t>
      </w:r>
      <w:r>
        <w:rPr>
          <w:rFonts w:hint="eastAsia"/>
          <w:color w:val="auto"/>
          <w:sz w:val="21"/>
          <w:szCs w:val="21"/>
        </w:rPr>
        <w:t>供货设备的总体性能保证由投标人负责，应达到设计要求和满足运行需要。因投标人所负责的设备本体及附属设备等原因造成设计、制造质量问题导致设备无法正常投产，设备无法长期、连续、安全、经济、稳定地运行，投标人必须为此负全部（直接、间接）责任。</w:t>
      </w:r>
    </w:p>
    <w:p w14:paraId="5C1D652F">
      <w:pPr>
        <w:spacing w:line="480" w:lineRule="auto"/>
        <w:ind w:firstLine="420" w:firstLineChars="200"/>
        <w:outlineLvl w:val="1"/>
        <w:rPr>
          <w:rFonts w:eastAsia="黑体"/>
          <w:color w:val="auto"/>
          <w:sz w:val="21"/>
          <w:szCs w:val="21"/>
        </w:rPr>
      </w:pPr>
      <w:r>
        <w:rPr>
          <w:rFonts w:hint="eastAsia" w:eastAsia="黑体"/>
          <w:color w:val="auto"/>
          <w:sz w:val="21"/>
          <w:szCs w:val="21"/>
        </w:rPr>
        <w:t>十三</w:t>
      </w:r>
      <w:r>
        <w:rPr>
          <w:rFonts w:eastAsia="黑体"/>
          <w:color w:val="auto"/>
          <w:sz w:val="21"/>
          <w:szCs w:val="21"/>
        </w:rPr>
        <w:t>、</w:t>
      </w:r>
      <w:r>
        <w:rPr>
          <w:rFonts w:hint="eastAsia" w:eastAsia="黑体"/>
          <w:bCs/>
          <w:color w:val="auto"/>
          <w:sz w:val="21"/>
          <w:szCs w:val="21"/>
        </w:rPr>
        <w:t>附则</w:t>
      </w:r>
    </w:p>
    <w:p w14:paraId="6EBFB64F">
      <w:pPr>
        <w:tabs>
          <w:tab w:val="left" w:pos="360"/>
          <w:tab w:val="left" w:pos="420"/>
        </w:tabs>
        <w:ind w:firstLine="420" w:firstLineChars="200"/>
        <w:rPr>
          <w:color w:val="auto"/>
          <w:sz w:val="21"/>
          <w:szCs w:val="21"/>
        </w:rPr>
      </w:pPr>
      <w:r>
        <w:rPr>
          <w:rFonts w:hint="eastAsia"/>
          <w:color w:val="auto"/>
          <w:sz w:val="21"/>
          <w:szCs w:val="21"/>
        </w:rPr>
        <w:t>1</w:t>
      </w:r>
      <w:r>
        <w:rPr>
          <w:color w:val="auto"/>
          <w:sz w:val="21"/>
          <w:szCs w:val="21"/>
        </w:rPr>
        <w:t>．带</w:t>
      </w:r>
      <w:r>
        <w:rPr>
          <w:rFonts w:ascii="宋体" w:hAnsi="宋体"/>
          <w:color w:val="auto"/>
          <w:sz w:val="21"/>
          <w:szCs w:val="21"/>
        </w:rPr>
        <w:t>“</w:t>
      </w:r>
      <w:r>
        <w:rPr>
          <w:rFonts w:hint="eastAsia"/>
          <w:color w:val="auto"/>
          <w:sz w:val="21"/>
          <w:szCs w:val="21"/>
        </w:rPr>
        <w:t>★</w:t>
      </w:r>
      <w:r>
        <w:rPr>
          <w:rFonts w:ascii="宋体" w:hAnsi="宋体"/>
          <w:color w:val="auto"/>
          <w:sz w:val="21"/>
          <w:szCs w:val="21"/>
        </w:rPr>
        <w:t>”</w:t>
      </w:r>
      <w:r>
        <w:rPr>
          <w:color w:val="auto"/>
          <w:sz w:val="21"/>
          <w:szCs w:val="21"/>
        </w:rPr>
        <w:t>之条款，招标方视为必备条件，如不能满足，则视其投标书为废标。</w:t>
      </w:r>
    </w:p>
    <w:p w14:paraId="4BC1DFC5">
      <w:pPr>
        <w:tabs>
          <w:tab w:val="left" w:pos="360"/>
          <w:tab w:val="left" w:pos="420"/>
        </w:tabs>
        <w:ind w:firstLine="420" w:firstLineChars="200"/>
        <w:rPr>
          <w:color w:val="auto"/>
          <w:sz w:val="21"/>
          <w:szCs w:val="21"/>
        </w:rPr>
      </w:pPr>
      <w:r>
        <w:rPr>
          <w:rFonts w:hint="eastAsia"/>
          <w:color w:val="auto"/>
          <w:sz w:val="21"/>
          <w:szCs w:val="21"/>
        </w:rPr>
        <w:t>2</w:t>
      </w:r>
      <w:r>
        <w:rPr>
          <w:color w:val="auto"/>
          <w:sz w:val="21"/>
          <w:szCs w:val="21"/>
        </w:rPr>
        <w:t>．本技术规格书的解释权属招标单位。</w:t>
      </w:r>
    </w:p>
    <w:p w14:paraId="4B0BB9D4">
      <w:pPr>
        <w:spacing w:line="480" w:lineRule="auto"/>
        <w:ind w:firstLine="880" w:firstLineChars="200"/>
        <w:outlineLvl w:val="1"/>
        <w:rPr>
          <w:rFonts w:eastAsia="黑体"/>
          <w:color w:val="auto"/>
          <w:sz w:val="44"/>
          <w:szCs w:val="44"/>
        </w:rPr>
      </w:pPr>
      <w:r>
        <w:rPr>
          <w:rFonts w:hint="eastAsia" w:eastAsia="黑体"/>
          <w:color w:val="auto"/>
          <w:sz w:val="44"/>
          <w:szCs w:val="44"/>
        </w:rPr>
        <w:t>无线调车机车信号和监控系统</w:t>
      </w:r>
    </w:p>
    <w:p w14:paraId="544343C5">
      <w:pPr>
        <w:spacing w:line="480" w:lineRule="auto"/>
        <w:ind w:firstLine="420" w:firstLineChars="200"/>
        <w:outlineLvl w:val="1"/>
        <w:rPr>
          <w:rFonts w:eastAsia="黑体"/>
          <w:color w:val="auto"/>
          <w:sz w:val="21"/>
          <w:szCs w:val="21"/>
        </w:rPr>
      </w:pPr>
      <w:bookmarkStart w:id="0" w:name="_Toc164609964"/>
      <w:r>
        <w:rPr>
          <w:rFonts w:hint="eastAsia" w:eastAsia="黑体"/>
          <w:color w:val="auto"/>
          <w:sz w:val="21"/>
          <w:szCs w:val="21"/>
        </w:rPr>
        <w:t>一</w:t>
      </w:r>
      <w:r>
        <w:rPr>
          <w:rFonts w:eastAsia="黑体"/>
          <w:color w:val="auto"/>
          <w:sz w:val="21"/>
          <w:szCs w:val="21"/>
        </w:rPr>
        <w:t>、</w:t>
      </w:r>
      <w:r>
        <w:rPr>
          <w:rFonts w:hint="eastAsia" w:eastAsia="黑体"/>
          <w:color w:val="auto"/>
          <w:sz w:val="21"/>
          <w:szCs w:val="21"/>
        </w:rPr>
        <w:t>工程概况</w:t>
      </w:r>
      <w:bookmarkEnd w:id="0"/>
    </w:p>
    <w:p w14:paraId="338BCED5">
      <w:pPr>
        <w:ind w:firstLine="422" w:firstLineChars="200"/>
        <w:outlineLvl w:val="2"/>
        <w:rPr>
          <w:b/>
          <w:color w:val="auto"/>
          <w:sz w:val="21"/>
          <w:szCs w:val="21"/>
        </w:rPr>
      </w:pPr>
      <w:bookmarkStart w:id="1" w:name="_Toc164609965"/>
      <w:r>
        <w:rPr>
          <w:rFonts w:hint="eastAsia"/>
          <w:b/>
          <w:color w:val="auto"/>
          <w:sz w:val="21"/>
          <w:szCs w:val="21"/>
        </w:rPr>
        <w:t>（一）</w:t>
      </w:r>
      <w:r>
        <w:rPr>
          <w:b/>
          <w:color w:val="auto"/>
          <w:sz w:val="21"/>
          <w:szCs w:val="21"/>
        </w:rPr>
        <w:t>工程范围</w:t>
      </w:r>
      <w:bookmarkEnd w:id="1"/>
    </w:p>
    <w:p w14:paraId="158A9B4C">
      <w:pPr>
        <w:ind w:firstLine="420" w:firstLineChars="200"/>
        <w:rPr>
          <w:color w:val="auto"/>
          <w:sz w:val="21"/>
          <w:szCs w:val="21"/>
        </w:rPr>
      </w:pPr>
      <w:r>
        <w:rPr>
          <w:color w:val="auto"/>
          <w:sz w:val="21"/>
          <w:szCs w:val="21"/>
        </w:rPr>
        <w:t>本</w:t>
      </w:r>
      <w:r>
        <w:rPr>
          <w:rFonts w:hint="eastAsia"/>
          <w:color w:val="auto"/>
          <w:sz w:val="21"/>
          <w:szCs w:val="21"/>
        </w:rPr>
        <w:t>供货要求</w:t>
      </w:r>
      <w:r>
        <w:rPr>
          <w:color w:val="auto"/>
          <w:sz w:val="21"/>
          <w:szCs w:val="21"/>
        </w:rPr>
        <w:t>招标</w:t>
      </w:r>
      <w:r>
        <w:rPr>
          <w:rFonts w:hint="eastAsia"/>
          <w:color w:val="auto"/>
          <w:sz w:val="21"/>
          <w:szCs w:val="21"/>
        </w:rPr>
        <w:t>范围</w:t>
      </w:r>
      <w:r>
        <w:rPr>
          <w:color w:val="auto"/>
          <w:sz w:val="21"/>
          <w:szCs w:val="21"/>
        </w:rPr>
        <w:t>为三峡枢纽茅坪港疏港铁路工程。工程范围：宜昌南站（含）至茅坪港站（含）段（DK0+000至DK39+608.509），线路全长39.592km。新建十里坪站、茅坪港站，改造宜昌南站。</w:t>
      </w:r>
    </w:p>
    <w:p w14:paraId="017464E4">
      <w:pPr>
        <w:ind w:firstLine="422" w:firstLineChars="200"/>
        <w:outlineLvl w:val="2"/>
        <w:rPr>
          <w:b/>
          <w:color w:val="auto"/>
          <w:sz w:val="21"/>
          <w:szCs w:val="21"/>
        </w:rPr>
      </w:pPr>
      <w:bookmarkStart w:id="2" w:name="_Toc164609966"/>
      <w:r>
        <w:rPr>
          <w:rFonts w:hint="eastAsia"/>
          <w:b/>
          <w:color w:val="auto"/>
          <w:sz w:val="21"/>
          <w:szCs w:val="21"/>
        </w:rPr>
        <w:t>（二）本项目主要技术标准</w:t>
      </w:r>
      <w:bookmarkEnd w:id="2"/>
    </w:p>
    <w:p w14:paraId="694F2DBB">
      <w:pPr>
        <w:ind w:firstLine="420" w:firstLineChars="200"/>
        <w:rPr>
          <w:color w:val="auto"/>
          <w:sz w:val="21"/>
          <w:szCs w:val="21"/>
        </w:rPr>
      </w:pPr>
      <w:r>
        <w:rPr>
          <w:color w:val="auto"/>
          <w:sz w:val="21"/>
          <w:szCs w:val="21"/>
        </w:rPr>
        <w:t>铁路等级：国铁Ⅲ级</w:t>
      </w:r>
    </w:p>
    <w:p w14:paraId="1D9A53E6">
      <w:pPr>
        <w:ind w:firstLine="420" w:firstLineChars="200"/>
        <w:rPr>
          <w:color w:val="auto"/>
          <w:sz w:val="21"/>
          <w:szCs w:val="21"/>
        </w:rPr>
      </w:pPr>
      <w:r>
        <w:rPr>
          <w:color w:val="auto"/>
          <w:sz w:val="21"/>
          <w:szCs w:val="21"/>
        </w:rPr>
        <w:t>正线数目：单线</w:t>
      </w:r>
    </w:p>
    <w:p w14:paraId="44917240">
      <w:pPr>
        <w:ind w:firstLine="420" w:firstLineChars="200"/>
        <w:rPr>
          <w:color w:val="auto"/>
          <w:sz w:val="21"/>
          <w:szCs w:val="21"/>
        </w:rPr>
      </w:pPr>
      <w:r>
        <w:rPr>
          <w:color w:val="auto"/>
          <w:sz w:val="21"/>
          <w:szCs w:val="21"/>
        </w:rPr>
        <w:t>最小曲线半径：一般600</w:t>
      </w:r>
      <w:r>
        <w:rPr>
          <w:rFonts w:hint="eastAsia"/>
          <w:color w:val="auto"/>
          <w:sz w:val="21"/>
          <w:szCs w:val="21"/>
        </w:rPr>
        <w:t>m</w:t>
      </w:r>
      <w:r>
        <w:rPr>
          <w:color w:val="auto"/>
          <w:sz w:val="21"/>
          <w:szCs w:val="21"/>
        </w:rPr>
        <w:t>，困难</w:t>
      </w:r>
      <w:r>
        <w:rPr>
          <w:rFonts w:hint="eastAsia"/>
          <w:color w:val="auto"/>
          <w:sz w:val="21"/>
          <w:szCs w:val="21"/>
        </w:rPr>
        <w:t>5</w:t>
      </w:r>
      <w:r>
        <w:rPr>
          <w:color w:val="auto"/>
          <w:sz w:val="21"/>
          <w:szCs w:val="21"/>
        </w:rPr>
        <w:t>00</w:t>
      </w:r>
      <w:r>
        <w:rPr>
          <w:rFonts w:hint="eastAsia"/>
          <w:color w:val="auto"/>
          <w:sz w:val="21"/>
          <w:szCs w:val="21"/>
        </w:rPr>
        <w:t>m</w:t>
      </w:r>
    </w:p>
    <w:p w14:paraId="1AD8D6F8">
      <w:pPr>
        <w:ind w:firstLine="420" w:firstLineChars="200"/>
        <w:rPr>
          <w:color w:val="auto"/>
          <w:sz w:val="21"/>
          <w:szCs w:val="21"/>
        </w:rPr>
      </w:pPr>
      <w:r>
        <w:rPr>
          <w:color w:val="auto"/>
          <w:sz w:val="21"/>
          <w:szCs w:val="21"/>
        </w:rPr>
        <w:t>限制坡度：13‰（双机）</w:t>
      </w:r>
    </w:p>
    <w:p w14:paraId="0BBBBA25">
      <w:pPr>
        <w:ind w:firstLine="420" w:firstLineChars="200"/>
        <w:rPr>
          <w:color w:val="auto"/>
          <w:sz w:val="21"/>
          <w:szCs w:val="21"/>
        </w:rPr>
      </w:pPr>
      <w:r>
        <w:rPr>
          <w:color w:val="auto"/>
          <w:sz w:val="21"/>
          <w:szCs w:val="21"/>
        </w:rPr>
        <w:t>牵引种类：电力</w:t>
      </w:r>
    </w:p>
    <w:p w14:paraId="3BE0CCF2">
      <w:pPr>
        <w:ind w:firstLine="420" w:firstLineChars="200"/>
        <w:rPr>
          <w:color w:val="auto"/>
          <w:sz w:val="21"/>
          <w:szCs w:val="21"/>
        </w:rPr>
      </w:pPr>
      <w:r>
        <w:rPr>
          <w:rFonts w:hint="eastAsia"/>
          <w:color w:val="auto"/>
          <w:sz w:val="21"/>
          <w:szCs w:val="21"/>
        </w:rPr>
        <w:t>牵引质量：</w:t>
      </w:r>
      <w:r>
        <w:rPr>
          <w:color w:val="auto"/>
          <w:sz w:val="21"/>
          <w:szCs w:val="21"/>
        </w:rPr>
        <w:t>4000</w:t>
      </w:r>
      <w:r>
        <w:rPr>
          <w:rFonts w:hint="eastAsia"/>
          <w:color w:val="auto"/>
          <w:sz w:val="21"/>
          <w:szCs w:val="21"/>
        </w:rPr>
        <w:t>t</w:t>
      </w:r>
    </w:p>
    <w:p w14:paraId="3A233FE6">
      <w:pPr>
        <w:ind w:firstLine="420" w:firstLineChars="200"/>
        <w:rPr>
          <w:color w:val="auto"/>
          <w:sz w:val="21"/>
          <w:szCs w:val="21"/>
        </w:rPr>
      </w:pPr>
      <w:r>
        <w:rPr>
          <w:rFonts w:hint="eastAsia"/>
          <w:color w:val="auto"/>
          <w:sz w:val="21"/>
          <w:szCs w:val="21"/>
        </w:rPr>
        <w:t>机车类型：HXD3</w:t>
      </w:r>
    </w:p>
    <w:p w14:paraId="7557282D">
      <w:pPr>
        <w:ind w:firstLine="420" w:firstLineChars="200"/>
        <w:rPr>
          <w:color w:val="auto"/>
          <w:sz w:val="21"/>
          <w:szCs w:val="21"/>
        </w:rPr>
      </w:pPr>
      <w:r>
        <w:rPr>
          <w:color w:val="auto"/>
          <w:sz w:val="21"/>
          <w:szCs w:val="21"/>
        </w:rPr>
        <w:t>到发线有效长：880</w:t>
      </w:r>
      <w:r>
        <w:rPr>
          <w:rFonts w:hint="eastAsia"/>
          <w:color w:val="auto"/>
          <w:sz w:val="21"/>
          <w:szCs w:val="21"/>
        </w:rPr>
        <w:t>m</w:t>
      </w:r>
    </w:p>
    <w:p w14:paraId="2BAD4D72">
      <w:pPr>
        <w:ind w:firstLine="420" w:firstLineChars="200"/>
        <w:rPr>
          <w:color w:val="auto"/>
          <w:sz w:val="21"/>
          <w:szCs w:val="21"/>
        </w:rPr>
      </w:pPr>
      <w:r>
        <w:rPr>
          <w:color w:val="auto"/>
          <w:sz w:val="21"/>
          <w:szCs w:val="21"/>
        </w:rPr>
        <w:t>闭塞类型：</w:t>
      </w:r>
      <w:r>
        <w:rPr>
          <w:rFonts w:hint="eastAsia"/>
          <w:color w:val="auto"/>
          <w:sz w:val="21"/>
          <w:szCs w:val="21"/>
        </w:rPr>
        <w:t>自动站间</w:t>
      </w:r>
      <w:r>
        <w:rPr>
          <w:color w:val="auto"/>
          <w:sz w:val="21"/>
          <w:szCs w:val="21"/>
        </w:rPr>
        <w:t>闭塞</w:t>
      </w:r>
    </w:p>
    <w:p w14:paraId="3280D513">
      <w:pPr>
        <w:ind w:firstLine="420" w:firstLineChars="200"/>
        <w:rPr>
          <w:color w:val="auto"/>
          <w:sz w:val="21"/>
          <w:szCs w:val="21"/>
        </w:rPr>
      </w:pPr>
      <w:r>
        <w:rPr>
          <w:rFonts w:hint="eastAsia"/>
          <w:color w:val="auto"/>
          <w:sz w:val="21"/>
          <w:szCs w:val="21"/>
        </w:rPr>
        <w:t>建筑限界：预留双层集装箱通道条件</w:t>
      </w:r>
    </w:p>
    <w:p w14:paraId="137AF865">
      <w:pPr>
        <w:ind w:firstLine="422" w:firstLineChars="200"/>
        <w:outlineLvl w:val="2"/>
        <w:rPr>
          <w:b/>
          <w:color w:val="auto"/>
          <w:sz w:val="21"/>
          <w:szCs w:val="21"/>
        </w:rPr>
      </w:pPr>
      <w:bookmarkStart w:id="3" w:name="_Toc164609967"/>
      <w:r>
        <w:rPr>
          <w:rFonts w:hint="eastAsia"/>
          <w:b/>
          <w:color w:val="auto"/>
          <w:sz w:val="21"/>
          <w:szCs w:val="21"/>
        </w:rPr>
        <w:t>（三）信号工程主要技术标准</w:t>
      </w:r>
      <w:bookmarkEnd w:id="3"/>
    </w:p>
    <w:p w14:paraId="6F9800E6">
      <w:pPr>
        <w:ind w:firstLine="420" w:firstLineChars="200"/>
        <w:rPr>
          <w:color w:val="auto"/>
          <w:sz w:val="21"/>
          <w:szCs w:val="21"/>
        </w:rPr>
      </w:pPr>
      <w:r>
        <w:rPr>
          <w:rFonts w:hint="eastAsia"/>
          <w:color w:val="auto"/>
          <w:sz w:val="21"/>
          <w:szCs w:val="21"/>
        </w:rPr>
        <w:t>1．列车调度指挥及调度集中</w:t>
      </w:r>
    </w:p>
    <w:p w14:paraId="356758F6">
      <w:pPr>
        <w:ind w:firstLine="420" w:firstLineChars="200"/>
        <w:rPr>
          <w:color w:val="auto"/>
          <w:sz w:val="21"/>
          <w:szCs w:val="21"/>
        </w:rPr>
      </w:pPr>
      <w:r>
        <w:rPr>
          <w:rFonts w:hint="eastAsia"/>
          <w:color w:val="auto"/>
          <w:sz w:val="21"/>
          <w:szCs w:val="21"/>
        </w:rPr>
        <w:t>根据</w:t>
      </w:r>
      <w:r>
        <w:rPr>
          <w:color w:val="auto"/>
          <w:sz w:val="21"/>
          <w:szCs w:val="21"/>
        </w:rPr>
        <w:t>宜昌三峡疏港铁路投资运营有限公司工作联系函《茅坪港铁路站后工程总体设计方案》（YCSXTL-2022-0601），</w:t>
      </w:r>
      <w:r>
        <w:rPr>
          <w:rFonts w:hint="eastAsia"/>
          <w:color w:val="auto"/>
          <w:sz w:val="21"/>
          <w:szCs w:val="21"/>
        </w:rPr>
        <w:t>十里坪站、茅坪港站不设调度指挥设备，运输调度指挥采用电话调度方式。</w:t>
      </w:r>
    </w:p>
    <w:p w14:paraId="58CCB44D">
      <w:pPr>
        <w:ind w:firstLine="420" w:firstLineChars="200"/>
        <w:rPr>
          <w:color w:val="auto"/>
          <w:sz w:val="21"/>
          <w:szCs w:val="21"/>
        </w:rPr>
      </w:pPr>
      <w:r>
        <w:rPr>
          <w:rFonts w:hint="eastAsia"/>
          <w:color w:val="auto"/>
          <w:sz w:val="21"/>
          <w:szCs w:val="21"/>
        </w:rPr>
        <w:t>宜昌南站维持既有武汉局宜万行车调度台管辖不变。结合本线引入宜昌南站，在综合考虑设备使用年限等因素的基础上，宜昌南站既有CTC车站分机设备按现行标准进行升级改造，通道维持既有不变；武汉局调度所CTC总机系统在既有设备基础上进行适应性修改。</w:t>
      </w:r>
    </w:p>
    <w:p w14:paraId="402DCD22">
      <w:pPr>
        <w:ind w:firstLine="420" w:firstLineChars="200"/>
        <w:rPr>
          <w:color w:val="auto"/>
          <w:sz w:val="21"/>
          <w:szCs w:val="21"/>
        </w:rPr>
      </w:pPr>
      <w:r>
        <w:rPr>
          <w:rFonts w:hint="eastAsia"/>
          <w:color w:val="auto"/>
          <w:sz w:val="21"/>
          <w:szCs w:val="21"/>
        </w:rPr>
        <w:t>2．列车运行控制</w:t>
      </w:r>
    </w:p>
    <w:p w14:paraId="38235F0E">
      <w:pPr>
        <w:ind w:firstLine="420" w:firstLineChars="200"/>
        <w:rPr>
          <w:color w:val="auto"/>
          <w:sz w:val="21"/>
          <w:szCs w:val="21"/>
        </w:rPr>
      </w:pPr>
      <w:r>
        <w:rPr>
          <w:rFonts w:hint="eastAsia"/>
          <w:color w:val="auto"/>
          <w:sz w:val="21"/>
          <w:szCs w:val="21"/>
        </w:rPr>
        <w:t>本线设计速度目标值为80 km/h，根据铁路相关技术政策、设计规范的要求，本线按CTCS-0级列车运行控制系统设计，采用主体化机车信号与列车运行监控记录装置（LKJ）相结合的方式。有关机车信号、LKJ车载相关设备的安装和相应的技术服务等费用纳入机车车辆购置费。</w:t>
      </w:r>
    </w:p>
    <w:p w14:paraId="40025D6C">
      <w:pPr>
        <w:ind w:firstLine="420" w:firstLineChars="200"/>
        <w:rPr>
          <w:color w:val="auto"/>
          <w:sz w:val="21"/>
          <w:szCs w:val="21"/>
        </w:rPr>
      </w:pPr>
      <w:r>
        <w:rPr>
          <w:rFonts w:hint="eastAsia"/>
          <w:color w:val="auto"/>
          <w:sz w:val="21"/>
          <w:szCs w:val="21"/>
        </w:rPr>
        <w:t>宜万铁路（宜昌南站）列控系统维持既有CTCS-2级列控等级不变。结合本线引入宜昌南站，宜昌南站新增2条货运股道（非动车组进路股道），宜昌南站TCC、宜万铁路TSRS在既有设备基础上进行适应性修改，并配套调整应答器设置位置，位置不动的应答器原则上利旧，新增应答器设计标准与既有标准保持一致。</w:t>
      </w:r>
    </w:p>
    <w:p w14:paraId="35C6E10F">
      <w:pPr>
        <w:ind w:firstLine="420" w:firstLineChars="200"/>
        <w:rPr>
          <w:color w:val="auto"/>
          <w:sz w:val="21"/>
          <w:szCs w:val="21"/>
        </w:rPr>
      </w:pPr>
      <w:r>
        <w:rPr>
          <w:rFonts w:hint="eastAsia"/>
          <w:color w:val="auto"/>
          <w:sz w:val="21"/>
          <w:szCs w:val="21"/>
        </w:rPr>
        <w:t>本线为货运铁路，根据行车计划，动车组不会下线到本线运行，本次工程不设置C2/C0列控等级转换点。</w:t>
      </w:r>
    </w:p>
    <w:p w14:paraId="29B4DAB6">
      <w:pPr>
        <w:ind w:firstLine="420" w:firstLineChars="200"/>
        <w:rPr>
          <w:color w:val="auto"/>
          <w:sz w:val="21"/>
          <w:szCs w:val="21"/>
        </w:rPr>
      </w:pPr>
      <w:r>
        <w:rPr>
          <w:rFonts w:hint="eastAsia"/>
          <w:color w:val="auto"/>
          <w:sz w:val="21"/>
          <w:szCs w:val="21"/>
        </w:rPr>
        <w:t>3．</w:t>
      </w:r>
      <w:r>
        <w:rPr>
          <w:color w:val="auto"/>
          <w:sz w:val="21"/>
          <w:szCs w:val="21"/>
        </w:rPr>
        <w:t>区间闭塞</w:t>
      </w:r>
    </w:p>
    <w:p w14:paraId="1A373EED">
      <w:pPr>
        <w:ind w:firstLine="420" w:firstLineChars="200"/>
        <w:rPr>
          <w:color w:val="auto"/>
          <w:sz w:val="21"/>
          <w:szCs w:val="21"/>
        </w:rPr>
      </w:pPr>
      <w:r>
        <w:rPr>
          <w:rFonts w:hint="eastAsia"/>
          <w:color w:val="auto"/>
          <w:sz w:val="21"/>
          <w:szCs w:val="21"/>
        </w:rPr>
        <w:t>本线为单线铁路，按自动站间闭塞设计。采用计轴设备实现区间占用/空闲检查，闭塞信息采用基于光纤的安全信息传输设备。站间计轴设备、闭塞信息传输通道均由通信专业提供（专用光传输通道：半自动闭塞采用2×2M，计轴采用2芯光纤）。</w:t>
      </w:r>
    </w:p>
    <w:p w14:paraId="5475D686">
      <w:pPr>
        <w:ind w:firstLine="420" w:firstLineChars="200"/>
        <w:rPr>
          <w:color w:val="auto"/>
          <w:sz w:val="21"/>
          <w:szCs w:val="21"/>
        </w:rPr>
      </w:pPr>
      <w:r>
        <w:rPr>
          <w:rFonts w:hint="eastAsia"/>
          <w:color w:val="auto"/>
          <w:sz w:val="21"/>
          <w:szCs w:val="21"/>
        </w:rPr>
        <w:t>宜万铁路宜昌南站管内区间闭塞维持既有ZPW-2000A四显示自动闭塞制式及继电编码方式不变。结合本线引入宜昌南站，宜昌南站X/XF进站信号机外移125m、S/SF进站信号机外移49m，根据行车检算，下行线通过信号机11255（K1125+465）向小里程方向移动150m，移动后里程为K112+315，其余通过信号机位置维持既有不动。新增的室外设备及控制电缆新设，位置不动的室外设备及控制电缆原则上利旧。新增设备设计标准与既有标准保持一致。</w:t>
      </w:r>
    </w:p>
    <w:p w14:paraId="47B3B702">
      <w:pPr>
        <w:ind w:firstLine="420" w:firstLineChars="200"/>
        <w:rPr>
          <w:color w:val="auto"/>
          <w:sz w:val="21"/>
          <w:szCs w:val="21"/>
        </w:rPr>
      </w:pPr>
      <w:r>
        <w:rPr>
          <w:rFonts w:hint="eastAsia"/>
          <w:color w:val="auto"/>
          <w:sz w:val="21"/>
          <w:szCs w:val="21"/>
        </w:rPr>
        <w:t>4．联锁</w:t>
      </w:r>
    </w:p>
    <w:p w14:paraId="5480A9E2">
      <w:pPr>
        <w:ind w:firstLine="420" w:firstLineChars="200"/>
        <w:rPr>
          <w:color w:val="auto"/>
          <w:sz w:val="21"/>
          <w:szCs w:val="21"/>
        </w:rPr>
      </w:pPr>
      <w:r>
        <w:rPr>
          <w:rFonts w:hint="eastAsia"/>
          <w:color w:val="auto"/>
          <w:sz w:val="21"/>
          <w:szCs w:val="21"/>
        </w:rPr>
        <w:t>十里坪站、茅坪港站</w:t>
      </w:r>
      <w:r>
        <w:rPr>
          <w:color w:val="auto"/>
          <w:sz w:val="21"/>
          <w:szCs w:val="21"/>
        </w:rPr>
        <w:t>设置硬件安全冗余型计算机联锁设备</w:t>
      </w:r>
      <w:r>
        <w:rPr>
          <w:rFonts w:hint="eastAsia"/>
          <w:color w:val="auto"/>
          <w:sz w:val="21"/>
          <w:szCs w:val="21"/>
        </w:rPr>
        <w:t>，车站范围内的所有道岔均纳入联锁控制。</w:t>
      </w:r>
      <w:r>
        <w:rPr>
          <w:rFonts w:hint="eastAsia" w:hAnsi="宋体"/>
          <w:color w:val="auto"/>
          <w:sz w:val="21"/>
          <w:szCs w:val="21"/>
        </w:rPr>
        <w:t>结合本线引入宜昌南站，宜昌南站计算机联锁设备在既有设备基础上进行适应性修改。</w:t>
      </w:r>
    </w:p>
    <w:p w14:paraId="67021AFE">
      <w:pPr>
        <w:ind w:firstLine="420" w:firstLineChars="200"/>
        <w:rPr>
          <w:color w:val="auto"/>
          <w:sz w:val="21"/>
          <w:szCs w:val="21"/>
        </w:rPr>
      </w:pPr>
      <w:r>
        <w:rPr>
          <w:rFonts w:hint="eastAsia"/>
          <w:color w:val="auto"/>
          <w:sz w:val="21"/>
          <w:szCs w:val="21"/>
        </w:rPr>
        <w:t>站内轨道电路采用97型25Hz相敏轨道电路，车站进站信号机接近区段采用97型25Hz相敏轨道电路；结合站场道岔类型，信号配套相应的转辙设备；采用铝合金机构色灯信号机。</w:t>
      </w:r>
    </w:p>
    <w:p w14:paraId="56D25E96">
      <w:pPr>
        <w:ind w:firstLine="420" w:firstLineChars="200"/>
        <w:rPr>
          <w:color w:val="auto"/>
          <w:sz w:val="21"/>
          <w:szCs w:val="21"/>
        </w:rPr>
      </w:pPr>
      <w:r>
        <w:rPr>
          <w:rFonts w:hint="eastAsia"/>
          <w:color w:val="auto"/>
          <w:sz w:val="21"/>
          <w:szCs w:val="21"/>
        </w:rPr>
        <w:t>5．信号集中监测</w:t>
      </w:r>
    </w:p>
    <w:p w14:paraId="5F8371F0">
      <w:pPr>
        <w:ind w:firstLine="420" w:firstLineChars="200"/>
        <w:rPr>
          <w:color w:val="auto"/>
          <w:sz w:val="21"/>
          <w:szCs w:val="21"/>
        </w:rPr>
      </w:pPr>
      <w:r>
        <w:rPr>
          <w:color w:val="auto"/>
          <w:sz w:val="21"/>
          <w:szCs w:val="21"/>
        </w:rPr>
        <w:t>本线设计信号集中监测系统，</w:t>
      </w:r>
      <w:r>
        <w:rPr>
          <w:rFonts w:hint="eastAsia" w:hAnsi="宋体"/>
          <w:color w:val="auto"/>
          <w:sz w:val="21"/>
          <w:szCs w:val="21"/>
        </w:rPr>
        <w:t>宜昌南站、十里坪站、茅坪港站</w:t>
      </w:r>
      <w:r>
        <w:rPr>
          <w:color w:val="auto"/>
          <w:sz w:val="21"/>
          <w:szCs w:val="21"/>
        </w:rPr>
        <w:t>设置信号集中监测分机</w:t>
      </w:r>
      <w:r>
        <w:rPr>
          <w:rFonts w:hint="eastAsia"/>
          <w:color w:val="auto"/>
          <w:sz w:val="21"/>
          <w:szCs w:val="21"/>
        </w:rPr>
        <w:t>；</w:t>
      </w:r>
      <w:r>
        <w:rPr>
          <w:color w:val="auto"/>
          <w:sz w:val="21"/>
          <w:szCs w:val="21"/>
        </w:rPr>
        <w:t>宜昌南站监测分机组网</w:t>
      </w:r>
      <w:r>
        <w:rPr>
          <w:rFonts w:hint="eastAsia" w:hAnsi="宋体"/>
          <w:color w:val="auto"/>
          <w:sz w:val="21"/>
          <w:szCs w:val="21"/>
        </w:rPr>
        <w:t>通道维持既有不变，接入</w:t>
      </w:r>
      <w:r>
        <w:rPr>
          <w:rFonts w:hint="eastAsia"/>
          <w:color w:val="auto"/>
          <w:sz w:val="21"/>
          <w:szCs w:val="21"/>
        </w:rPr>
        <w:t>宜昌综合维修段信号集中监测总机系统；</w:t>
      </w:r>
      <w:r>
        <w:rPr>
          <w:color w:val="auto"/>
          <w:sz w:val="21"/>
          <w:szCs w:val="21"/>
        </w:rPr>
        <w:t>新建工区、车间设置集中监测终端。</w:t>
      </w:r>
    </w:p>
    <w:p w14:paraId="50B6EF09">
      <w:pPr>
        <w:ind w:firstLine="420" w:firstLineChars="200"/>
        <w:rPr>
          <w:color w:val="auto"/>
          <w:sz w:val="21"/>
          <w:szCs w:val="21"/>
        </w:rPr>
      </w:pPr>
      <w:r>
        <w:rPr>
          <w:rFonts w:hint="eastAsia"/>
          <w:color w:val="auto"/>
          <w:sz w:val="21"/>
          <w:szCs w:val="21"/>
        </w:rPr>
        <w:t>6．电源设备</w:t>
      </w:r>
    </w:p>
    <w:p w14:paraId="14FD06DC">
      <w:pPr>
        <w:ind w:firstLine="420" w:firstLineChars="200"/>
        <w:rPr>
          <w:color w:val="auto"/>
          <w:sz w:val="21"/>
          <w:szCs w:val="21"/>
        </w:rPr>
      </w:pPr>
      <w:r>
        <w:rPr>
          <w:rFonts w:hint="eastAsia"/>
          <w:color w:val="auto"/>
          <w:sz w:val="21"/>
          <w:szCs w:val="21"/>
        </w:rPr>
        <w:t>十里坪站、茅坪港站</w:t>
      </w:r>
      <w:r>
        <w:rPr>
          <w:color w:val="auto"/>
          <w:sz w:val="21"/>
          <w:szCs w:val="21"/>
        </w:rPr>
        <w:t>采用综合智能电源屏</w:t>
      </w:r>
      <w:r>
        <w:rPr>
          <w:rFonts w:hint="eastAsia"/>
          <w:color w:val="auto"/>
          <w:sz w:val="21"/>
          <w:szCs w:val="21"/>
        </w:rPr>
        <w:t>并</w:t>
      </w:r>
      <w:r>
        <w:rPr>
          <w:color w:val="auto"/>
          <w:sz w:val="21"/>
          <w:szCs w:val="21"/>
        </w:rPr>
        <w:t>配备UPS电源，其容量按有人值守车站30分钟配置。</w:t>
      </w:r>
    </w:p>
    <w:p w14:paraId="49FCF08D">
      <w:pPr>
        <w:ind w:firstLine="420" w:firstLineChars="200"/>
        <w:rPr>
          <w:color w:val="auto"/>
          <w:sz w:val="21"/>
          <w:szCs w:val="21"/>
        </w:rPr>
      </w:pPr>
      <w:r>
        <w:rPr>
          <w:rFonts w:hint="eastAsia"/>
          <w:color w:val="auto"/>
          <w:sz w:val="21"/>
          <w:szCs w:val="21"/>
        </w:rPr>
        <w:t>7．无线调车机车信号和监控</w:t>
      </w:r>
    </w:p>
    <w:p w14:paraId="07A527C5">
      <w:pPr>
        <w:ind w:firstLine="420" w:firstLineChars="200"/>
        <w:rPr>
          <w:color w:val="auto"/>
          <w:sz w:val="21"/>
          <w:szCs w:val="21"/>
        </w:rPr>
      </w:pPr>
      <w:r>
        <w:rPr>
          <w:rFonts w:hint="eastAsia" w:hAnsi="宋体"/>
          <w:color w:val="auto"/>
          <w:sz w:val="21"/>
          <w:szCs w:val="21"/>
        </w:rPr>
        <w:t>本次工程在茅坪港站设置一套无线调车机车信号和监控系统（STP），对调车作业提供距离和速度防护。</w:t>
      </w:r>
    </w:p>
    <w:p w14:paraId="65F35C2C">
      <w:pPr>
        <w:spacing w:line="480" w:lineRule="auto"/>
        <w:ind w:firstLine="420" w:firstLineChars="200"/>
        <w:outlineLvl w:val="1"/>
        <w:rPr>
          <w:rFonts w:eastAsia="黑体"/>
          <w:color w:val="auto"/>
          <w:sz w:val="21"/>
          <w:szCs w:val="21"/>
        </w:rPr>
      </w:pPr>
      <w:bookmarkStart w:id="4" w:name="_Toc164609968"/>
      <w:r>
        <w:rPr>
          <w:rFonts w:hint="eastAsia" w:eastAsia="黑体"/>
          <w:color w:val="auto"/>
          <w:sz w:val="21"/>
          <w:szCs w:val="21"/>
        </w:rPr>
        <w:t>二</w:t>
      </w:r>
      <w:r>
        <w:rPr>
          <w:rFonts w:eastAsia="黑体"/>
          <w:color w:val="auto"/>
          <w:sz w:val="21"/>
          <w:szCs w:val="21"/>
        </w:rPr>
        <w:t>、</w:t>
      </w:r>
      <w:r>
        <w:rPr>
          <w:rFonts w:hint="eastAsia" w:eastAsia="黑体"/>
          <w:bCs/>
          <w:color w:val="auto"/>
          <w:sz w:val="21"/>
          <w:szCs w:val="21"/>
        </w:rPr>
        <w:t>工作范围及责任</w:t>
      </w:r>
      <w:bookmarkEnd w:id="4"/>
    </w:p>
    <w:p w14:paraId="4423F93F">
      <w:pPr>
        <w:ind w:firstLine="420" w:firstLineChars="200"/>
        <w:rPr>
          <w:color w:val="auto"/>
          <w:sz w:val="21"/>
          <w:szCs w:val="21"/>
        </w:rPr>
      </w:pPr>
      <w:r>
        <w:rPr>
          <w:rFonts w:hint="eastAsia"/>
          <w:color w:val="auto"/>
          <w:sz w:val="21"/>
          <w:szCs w:val="21"/>
        </w:rPr>
        <w:t>1．本工程拟在茅坪港站新设无线调车信号和监控系统，涉及1个车场和1台专用调机。投标人工作范围包括上述各新增与改造工作，提供设备、备品备件、专用测试仪器和工具的制造、工厂试验、供货、包装、运输，现场设备安装指导及系统调试，联调试验、试运行及工程验收配合，技术培训、工程设计联络及提供必要的图纸、资料，以及质保期及产品使用期内售后服务等工作。</w:t>
      </w:r>
    </w:p>
    <w:p w14:paraId="331DC9FE">
      <w:pPr>
        <w:ind w:firstLine="420" w:firstLineChars="200"/>
        <w:rPr>
          <w:color w:val="auto"/>
          <w:sz w:val="21"/>
          <w:szCs w:val="21"/>
        </w:rPr>
      </w:pPr>
      <w:r>
        <w:rPr>
          <w:rFonts w:hint="eastAsia"/>
          <w:color w:val="auto"/>
          <w:sz w:val="21"/>
          <w:szCs w:val="21"/>
        </w:rPr>
        <w:t>2．投标人必须全过程参与上述工作，并指派固定的技术负责人负责本项目。指派的技术负责人应征得招标人的书面认可，不得随意更换。特殊情况下，如人员需变化应及时通知招标人（或接管维护单位），并取得其认可。</w:t>
      </w:r>
    </w:p>
    <w:p w14:paraId="18DAE287">
      <w:pPr>
        <w:ind w:firstLine="420" w:firstLineChars="200"/>
        <w:rPr>
          <w:color w:val="auto"/>
          <w:sz w:val="21"/>
          <w:szCs w:val="21"/>
        </w:rPr>
      </w:pPr>
      <w:r>
        <w:rPr>
          <w:rFonts w:hint="eastAsia"/>
          <w:color w:val="auto"/>
          <w:sz w:val="21"/>
          <w:szCs w:val="21"/>
        </w:rPr>
        <w:t>3．在无线调车信号和监控系统生命周期内，投标人应对该系统的功能实现、完整性、安全性、可靠性、可用性等负责。</w:t>
      </w:r>
    </w:p>
    <w:p w14:paraId="203112F0">
      <w:pPr>
        <w:ind w:firstLine="420" w:firstLineChars="200"/>
        <w:rPr>
          <w:color w:val="auto"/>
          <w:sz w:val="21"/>
          <w:szCs w:val="21"/>
        </w:rPr>
      </w:pPr>
      <w:r>
        <w:rPr>
          <w:rFonts w:hint="eastAsia"/>
          <w:color w:val="auto"/>
          <w:sz w:val="21"/>
          <w:szCs w:val="21"/>
        </w:rPr>
        <w:t>4．投标人除应负责无线调车信号和监控系统系统内部接口外，还应对本系统与联锁系统、CTC/TDCS、LKJ等其他系统的接口负责，并对由招标人另外采购的设备和器材进行技术上的确认，以保证实现本技术规格书中规定的接口功能。这些接口功能包括，但不限于：</w:t>
      </w:r>
    </w:p>
    <w:p w14:paraId="15B03604">
      <w:pPr>
        <w:numPr>
          <w:ilvl w:val="0"/>
          <w:numId w:val="1"/>
        </w:numPr>
        <w:tabs>
          <w:tab w:val="left" w:pos="0"/>
          <w:tab w:val="clear" w:pos="840"/>
        </w:tabs>
        <w:ind w:left="0" w:firstLine="420" w:firstLineChars="200"/>
        <w:rPr>
          <w:color w:val="auto"/>
          <w:sz w:val="21"/>
          <w:szCs w:val="21"/>
        </w:rPr>
      </w:pPr>
      <w:r>
        <w:rPr>
          <w:rFonts w:hint="eastAsia"/>
          <w:color w:val="auto"/>
          <w:sz w:val="21"/>
          <w:szCs w:val="21"/>
        </w:rPr>
        <w:t>物理/电气特性；</w:t>
      </w:r>
    </w:p>
    <w:p w14:paraId="2414ED1B">
      <w:pPr>
        <w:numPr>
          <w:ilvl w:val="0"/>
          <w:numId w:val="1"/>
        </w:numPr>
        <w:tabs>
          <w:tab w:val="left" w:pos="0"/>
          <w:tab w:val="clear" w:pos="840"/>
        </w:tabs>
        <w:ind w:left="0" w:firstLine="420" w:firstLineChars="200"/>
        <w:rPr>
          <w:color w:val="auto"/>
          <w:sz w:val="21"/>
          <w:szCs w:val="21"/>
        </w:rPr>
      </w:pPr>
      <w:r>
        <w:rPr>
          <w:rFonts w:hint="eastAsia"/>
          <w:color w:val="auto"/>
          <w:sz w:val="21"/>
          <w:szCs w:val="21"/>
        </w:rPr>
        <w:t>通信协议；</w:t>
      </w:r>
    </w:p>
    <w:p w14:paraId="51D8DA62">
      <w:pPr>
        <w:numPr>
          <w:ilvl w:val="0"/>
          <w:numId w:val="1"/>
        </w:numPr>
        <w:tabs>
          <w:tab w:val="left" w:pos="0"/>
          <w:tab w:val="clear" w:pos="840"/>
        </w:tabs>
        <w:ind w:left="0" w:firstLine="420" w:firstLineChars="200"/>
        <w:rPr>
          <w:color w:val="auto"/>
          <w:sz w:val="21"/>
          <w:szCs w:val="21"/>
        </w:rPr>
      </w:pPr>
      <w:r>
        <w:rPr>
          <w:rFonts w:hint="eastAsia"/>
          <w:color w:val="auto"/>
          <w:sz w:val="21"/>
          <w:szCs w:val="21"/>
        </w:rPr>
        <w:t>本系统从相关系统接收信息并做规定的处理；</w:t>
      </w:r>
    </w:p>
    <w:p w14:paraId="073EB693">
      <w:pPr>
        <w:numPr>
          <w:ilvl w:val="0"/>
          <w:numId w:val="1"/>
        </w:numPr>
        <w:tabs>
          <w:tab w:val="left" w:pos="0"/>
          <w:tab w:val="clear" w:pos="840"/>
        </w:tabs>
        <w:ind w:left="0" w:firstLine="420" w:firstLineChars="200"/>
        <w:rPr>
          <w:color w:val="auto"/>
          <w:sz w:val="21"/>
          <w:szCs w:val="21"/>
        </w:rPr>
      </w:pPr>
      <w:r>
        <w:rPr>
          <w:rFonts w:hint="eastAsia"/>
          <w:color w:val="auto"/>
          <w:sz w:val="21"/>
          <w:szCs w:val="21"/>
        </w:rPr>
        <w:t>本系统向相关系统发送规定的信息。</w:t>
      </w:r>
    </w:p>
    <w:p w14:paraId="0BEED822">
      <w:pPr>
        <w:ind w:firstLine="420" w:firstLineChars="200"/>
        <w:rPr>
          <w:color w:val="auto"/>
          <w:sz w:val="21"/>
          <w:szCs w:val="21"/>
        </w:rPr>
      </w:pPr>
      <w:r>
        <w:rPr>
          <w:rFonts w:hint="eastAsia"/>
          <w:color w:val="auto"/>
          <w:sz w:val="21"/>
          <w:szCs w:val="21"/>
        </w:rPr>
        <w:t>投标人应与其它相关系统提供商协调合作，以保证以上接口功能的实现。</w:t>
      </w:r>
    </w:p>
    <w:p w14:paraId="64E642B4">
      <w:pPr>
        <w:ind w:firstLine="420" w:firstLineChars="200"/>
        <w:rPr>
          <w:color w:val="auto"/>
          <w:sz w:val="21"/>
          <w:szCs w:val="21"/>
        </w:rPr>
      </w:pPr>
      <w:r>
        <w:rPr>
          <w:rFonts w:hint="eastAsia"/>
          <w:color w:val="auto"/>
          <w:sz w:val="21"/>
          <w:szCs w:val="21"/>
        </w:rPr>
        <w:t>5．投标人如与本技术规格书的要求有偏差（无论多少），都必须清楚地表示在“技术偏离表”中。否则招标人将认为投标人完全接受和同意本招标文件的要求。</w:t>
      </w:r>
    </w:p>
    <w:p w14:paraId="7099CFA0">
      <w:pPr>
        <w:ind w:firstLine="420" w:firstLineChars="200"/>
        <w:rPr>
          <w:color w:val="auto"/>
          <w:sz w:val="21"/>
          <w:szCs w:val="21"/>
        </w:rPr>
      </w:pPr>
      <w:r>
        <w:rPr>
          <w:rFonts w:hint="eastAsia"/>
          <w:color w:val="auto"/>
          <w:sz w:val="21"/>
          <w:szCs w:val="21"/>
        </w:rPr>
        <w:t>6．系统设备开通投产后，在产品生命周期内，投标人须提供技术支持和售后服务等工作。</w:t>
      </w:r>
    </w:p>
    <w:p w14:paraId="57BF1DF7">
      <w:pPr>
        <w:ind w:firstLine="420" w:firstLineChars="200"/>
        <w:rPr>
          <w:color w:val="auto"/>
          <w:sz w:val="21"/>
          <w:szCs w:val="21"/>
        </w:rPr>
      </w:pPr>
      <w:r>
        <w:rPr>
          <w:rFonts w:hint="eastAsia"/>
          <w:color w:val="auto"/>
          <w:sz w:val="21"/>
          <w:szCs w:val="21"/>
        </w:rPr>
        <w:t>7．投标人须按工作顺序提交所需的技术资料，所有资料必须符合本招标文件的要求，无论其是否被明细列在合同文件中。</w:t>
      </w:r>
    </w:p>
    <w:p w14:paraId="59ED7BD9">
      <w:pPr>
        <w:ind w:firstLine="420" w:firstLineChars="200"/>
        <w:rPr>
          <w:color w:val="auto"/>
          <w:sz w:val="21"/>
          <w:szCs w:val="21"/>
        </w:rPr>
      </w:pPr>
      <w:r>
        <w:rPr>
          <w:rFonts w:hint="eastAsia"/>
          <w:color w:val="auto"/>
          <w:sz w:val="21"/>
          <w:szCs w:val="21"/>
        </w:rPr>
        <w:t>8．投标人应保证供货设备的总体性能达到设计要求，满足运行需要。因投标人提供的设备本体及附属设备等的造型设计、制造质量问题导致设备无法正常投产，设备无法长期、连续、安全、稳定地运行，投标人必须为此负全部（直接、间接）责任。</w:t>
      </w:r>
    </w:p>
    <w:p w14:paraId="06B51BFC">
      <w:pPr>
        <w:ind w:firstLine="420" w:firstLineChars="200"/>
        <w:rPr>
          <w:color w:val="auto"/>
          <w:sz w:val="21"/>
          <w:szCs w:val="21"/>
        </w:rPr>
      </w:pPr>
      <w:r>
        <w:rPr>
          <w:rFonts w:hint="eastAsia"/>
          <w:color w:val="auto"/>
          <w:sz w:val="21"/>
          <w:szCs w:val="21"/>
        </w:rPr>
        <w:t>9．在签订合同后，招标人保留对本技术规格书提出补充要求和修改的权利，投标人应承诺予以配合。如提出修改，具体项目和条件由买卖双方商定。</w:t>
      </w:r>
    </w:p>
    <w:p w14:paraId="6CFF5874">
      <w:pPr>
        <w:ind w:firstLine="420" w:firstLineChars="200"/>
        <w:rPr>
          <w:color w:val="auto"/>
          <w:sz w:val="21"/>
          <w:szCs w:val="21"/>
        </w:rPr>
      </w:pPr>
      <w:r>
        <w:rPr>
          <w:rFonts w:hint="eastAsia"/>
          <w:color w:val="auto"/>
          <w:sz w:val="21"/>
          <w:szCs w:val="21"/>
        </w:rPr>
        <w:t>10．投标人对整套产品及其主要部件的产地必须明确地标明在投标文件中，并附上相关证明文件。</w:t>
      </w:r>
    </w:p>
    <w:p w14:paraId="1AF1460A">
      <w:pPr>
        <w:ind w:firstLine="420" w:firstLineChars="200"/>
        <w:rPr>
          <w:color w:val="auto"/>
          <w:sz w:val="21"/>
          <w:szCs w:val="21"/>
        </w:rPr>
      </w:pPr>
      <w:r>
        <w:rPr>
          <w:rFonts w:hint="eastAsia"/>
          <w:color w:val="auto"/>
          <w:sz w:val="21"/>
          <w:szCs w:val="21"/>
        </w:rPr>
        <w:t>11．投标人须对产品的专利负责，并保证不伤害采购人的利益。在法律范围内，所有文字、商标和技术侵权造成的相关费用均由投标人承担，招标人概不负责。</w:t>
      </w:r>
    </w:p>
    <w:p w14:paraId="3518B6B0">
      <w:pPr>
        <w:spacing w:line="480" w:lineRule="auto"/>
        <w:ind w:firstLine="420" w:firstLineChars="200"/>
        <w:outlineLvl w:val="1"/>
        <w:rPr>
          <w:rFonts w:eastAsia="黑体"/>
          <w:color w:val="auto"/>
          <w:sz w:val="21"/>
          <w:szCs w:val="21"/>
        </w:rPr>
      </w:pPr>
      <w:bookmarkStart w:id="5" w:name="_Toc164609969"/>
      <w:r>
        <w:rPr>
          <w:rFonts w:hint="eastAsia" w:eastAsia="黑体"/>
          <w:color w:val="auto"/>
          <w:sz w:val="21"/>
          <w:szCs w:val="21"/>
        </w:rPr>
        <w:t>三</w:t>
      </w:r>
      <w:r>
        <w:rPr>
          <w:rFonts w:eastAsia="黑体"/>
          <w:color w:val="auto"/>
          <w:sz w:val="21"/>
          <w:szCs w:val="21"/>
        </w:rPr>
        <w:t>、</w:t>
      </w:r>
      <w:r>
        <w:rPr>
          <w:rFonts w:hint="eastAsia" w:eastAsia="黑体"/>
          <w:bCs/>
          <w:color w:val="auto"/>
          <w:sz w:val="21"/>
          <w:szCs w:val="21"/>
        </w:rPr>
        <w:t>供货范围</w:t>
      </w:r>
      <w:bookmarkEnd w:id="5"/>
    </w:p>
    <w:p w14:paraId="10255B9A">
      <w:pPr>
        <w:ind w:firstLine="420" w:firstLineChars="200"/>
        <w:rPr>
          <w:color w:val="auto"/>
          <w:sz w:val="21"/>
          <w:szCs w:val="21"/>
        </w:rPr>
      </w:pPr>
      <w:r>
        <w:rPr>
          <w:color w:val="auto"/>
          <w:sz w:val="21"/>
          <w:szCs w:val="21"/>
        </w:rPr>
        <w:t>1．</w:t>
      </w:r>
      <w:r>
        <w:rPr>
          <w:rFonts w:hint="eastAsia"/>
          <w:color w:val="auto"/>
          <w:sz w:val="21"/>
          <w:szCs w:val="21"/>
        </w:rPr>
        <w:t>茅坪港站新设的无线调车机车信号和监控系统设备应包括以下内容：</w:t>
      </w:r>
    </w:p>
    <w:p w14:paraId="0437D860">
      <w:pPr>
        <w:ind w:firstLine="420" w:firstLineChars="200"/>
        <w:rPr>
          <w:color w:val="auto"/>
          <w:sz w:val="21"/>
          <w:szCs w:val="21"/>
        </w:rPr>
      </w:pPr>
      <w:r>
        <w:rPr>
          <w:rFonts w:hint="eastAsia"/>
          <w:color w:val="auto"/>
          <w:sz w:val="21"/>
          <w:szCs w:val="21"/>
        </w:rPr>
        <w:t>① 地面设备主机；</w:t>
      </w:r>
    </w:p>
    <w:p w14:paraId="6D747B8B">
      <w:pPr>
        <w:ind w:firstLine="420" w:firstLineChars="200"/>
        <w:rPr>
          <w:color w:val="auto"/>
          <w:sz w:val="21"/>
          <w:szCs w:val="21"/>
        </w:rPr>
      </w:pPr>
      <w:r>
        <w:rPr>
          <w:rFonts w:hint="eastAsia"/>
          <w:color w:val="auto"/>
          <w:sz w:val="21"/>
          <w:szCs w:val="21"/>
        </w:rPr>
        <w:t>② 地面无线通信设备；</w:t>
      </w:r>
    </w:p>
    <w:p w14:paraId="28B464D4">
      <w:pPr>
        <w:ind w:firstLine="420" w:firstLineChars="200"/>
        <w:rPr>
          <w:color w:val="auto"/>
          <w:sz w:val="21"/>
          <w:szCs w:val="21"/>
        </w:rPr>
      </w:pPr>
      <w:r>
        <w:rPr>
          <w:rFonts w:hint="eastAsia"/>
          <w:color w:val="auto"/>
          <w:sz w:val="21"/>
          <w:szCs w:val="21"/>
        </w:rPr>
        <w:t>③ 车务终端；</w:t>
      </w:r>
    </w:p>
    <w:p w14:paraId="2B8CF10F">
      <w:pPr>
        <w:ind w:firstLine="420" w:firstLineChars="200"/>
        <w:rPr>
          <w:color w:val="auto"/>
          <w:sz w:val="21"/>
          <w:szCs w:val="21"/>
        </w:rPr>
      </w:pPr>
      <w:r>
        <w:rPr>
          <w:rFonts w:hint="eastAsia"/>
          <w:color w:val="auto"/>
          <w:sz w:val="21"/>
          <w:szCs w:val="21"/>
        </w:rPr>
        <w:t>④ 地面识别设备；</w:t>
      </w:r>
    </w:p>
    <w:p w14:paraId="59089055">
      <w:pPr>
        <w:ind w:firstLine="420" w:firstLineChars="200"/>
        <w:rPr>
          <w:color w:val="auto"/>
          <w:sz w:val="21"/>
          <w:szCs w:val="21"/>
        </w:rPr>
      </w:pPr>
      <w:r>
        <w:rPr>
          <w:rFonts w:hint="eastAsia"/>
          <w:color w:val="auto"/>
          <w:sz w:val="21"/>
          <w:szCs w:val="21"/>
        </w:rPr>
        <w:t>⑤ 与相关系统的接口设备（含至对方设备的缆线等）；</w:t>
      </w:r>
    </w:p>
    <w:p w14:paraId="3895FC73">
      <w:pPr>
        <w:ind w:firstLine="420" w:firstLineChars="200"/>
        <w:rPr>
          <w:color w:val="auto"/>
          <w:sz w:val="21"/>
          <w:szCs w:val="21"/>
        </w:rPr>
      </w:pPr>
      <w:r>
        <w:rPr>
          <w:rFonts w:hint="eastAsia"/>
          <w:color w:val="auto"/>
          <w:sz w:val="21"/>
          <w:szCs w:val="21"/>
        </w:rPr>
        <w:t>⑥ 车载主机；</w:t>
      </w:r>
    </w:p>
    <w:p w14:paraId="6D028D02">
      <w:pPr>
        <w:ind w:firstLine="420" w:firstLineChars="200"/>
        <w:rPr>
          <w:color w:val="auto"/>
          <w:sz w:val="21"/>
          <w:szCs w:val="21"/>
        </w:rPr>
      </w:pPr>
      <w:r>
        <w:rPr>
          <w:rFonts w:hint="eastAsia"/>
          <w:color w:val="auto"/>
          <w:sz w:val="21"/>
          <w:szCs w:val="21"/>
        </w:rPr>
        <w:t>⑦ 车载无线通信设备；</w:t>
      </w:r>
    </w:p>
    <w:p w14:paraId="15E87FA3">
      <w:pPr>
        <w:ind w:firstLine="420" w:firstLineChars="200"/>
        <w:rPr>
          <w:color w:val="auto"/>
          <w:sz w:val="21"/>
          <w:szCs w:val="21"/>
        </w:rPr>
      </w:pPr>
      <w:r>
        <w:rPr>
          <w:rFonts w:hint="eastAsia"/>
          <w:color w:val="auto"/>
          <w:sz w:val="21"/>
          <w:szCs w:val="21"/>
        </w:rPr>
        <w:t>⑧ 列车运行监控记录装置；</w:t>
      </w:r>
    </w:p>
    <w:p w14:paraId="13755813">
      <w:pPr>
        <w:ind w:firstLine="420" w:firstLineChars="200"/>
        <w:rPr>
          <w:color w:val="auto"/>
          <w:sz w:val="21"/>
          <w:szCs w:val="21"/>
        </w:rPr>
      </w:pPr>
      <w:r>
        <w:rPr>
          <w:rFonts w:hint="eastAsia"/>
          <w:color w:val="auto"/>
          <w:sz w:val="21"/>
          <w:szCs w:val="21"/>
        </w:rPr>
        <w:t>⑨ 车载识别设备；</w:t>
      </w:r>
    </w:p>
    <w:p w14:paraId="17C08BCC">
      <w:pPr>
        <w:ind w:firstLine="420" w:firstLineChars="200"/>
        <w:rPr>
          <w:color w:val="auto"/>
          <w:sz w:val="21"/>
          <w:szCs w:val="21"/>
        </w:rPr>
      </w:pPr>
      <w:r>
        <w:rPr>
          <w:rFonts w:hint="eastAsia"/>
          <w:color w:val="auto"/>
          <w:sz w:val="21"/>
          <w:szCs w:val="21"/>
        </w:rPr>
        <w:t>⑩ 备品备件（整机设备关键板卡和模块的10%部分备品备件）。</w:t>
      </w:r>
    </w:p>
    <w:p w14:paraId="50BFE21B">
      <w:pPr>
        <w:ind w:firstLine="420" w:firstLineChars="200"/>
        <w:rPr>
          <w:color w:val="auto"/>
          <w:sz w:val="21"/>
          <w:szCs w:val="21"/>
        </w:rPr>
      </w:pPr>
      <w:r>
        <w:rPr>
          <w:rFonts w:hint="eastAsia"/>
          <w:color w:val="auto"/>
          <w:sz w:val="21"/>
          <w:szCs w:val="21"/>
        </w:rPr>
        <w:t>2</w:t>
      </w:r>
      <w:r>
        <w:rPr>
          <w:color w:val="auto"/>
          <w:sz w:val="21"/>
          <w:szCs w:val="21"/>
        </w:rPr>
        <w:t>．</w:t>
      </w:r>
      <w:r>
        <w:rPr>
          <w:rFonts w:hint="eastAsia"/>
          <w:color w:val="auto"/>
          <w:sz w:val="21"/>
          <w:szCs w:val="21"/>
        </w:rPr>
        <w:t>招标人负责提供以下条件：</w:t>
      </w:r>
    </w:p>
    <w:p w14:paraId="6C520D35">
      <w:pPr>
        <w:ind w:firstLine="420" w:firstLineChars="200"/>
        <w:rPr>
          <w:color w:val="auto"/>
          <w:sz w:val="21"/>
          <w:szCs w:val="21"/>
        </w:rPr>
      </w:pPr>
      <w:r>
        <w:rPr>
          <w:rFonts w:hint="eastAsia"/>
          <w:color w:val="auto"/>
          <w:sz w:val="21"/>
          <w:szCs w:val="21"/>
        </w:rPr>
        <w:t>① 设备安装位置及设备用房；</w:t>
      </w:r>
    </w:p>
    <w:p w14:paraId="22D19D92">
      <w:pPr>
        <w:ind w:firstLine="420" w:firstLineChars="200"/>
        <w:rPr>
          <w:color w:val="auto"/>
          <w:sz w:val="21"/>
          <w:szCs w:val="21"/>
        </w:rPr>
      </w:pPr>
      <w:r>
        <w:rPr>
          <w:rFonts w:hint="eastAsia"/>
          <w:color w:val="auto"/>
          <w:sz w:val="21"/>
          <w:szCs w:val="21"/>
        </w:rPr>
        <w:t>② 地面设备使用的电源。</w:t>
      </w:r>
    </w:p>
    <w:p w14:paraId="5E96B27E">
      <w:pPr>
        <w:spacing w:line="480" w:lineRule="auto"/>
        <w:ind w:firstLine="420" w:firstLineChars="200"/>
        <w:outlineLvl w:val="1"/>
        <w:rPr>
          <w:rFonts w:eastAsia="黑体"/>
          <w:color w:val="auto"/>
          <w:sz w:val="21"/>
          <w:szCs w:val="21"/>
        </w:rPr>
      </w:pPr>
      <w:bookmarkStart w:id="6" w:name="_Toc164609970"/>
      <w:r>
        <w:rPr>
          <w:rFonts w:hint="eastAsia" w:eastAsia="黑体"/>
          <w:color w:val="auto"/>
          <w:sz w:val="21"/>
          <w:szCs w:val="21"/>
        </w:rPr>
        <w:t>四</w:t>
      </w:r>
      <w:r>
        <w:rPr>
          <w:rFonts w:eastAsia="黑体"/>
          <w:color w:val="auto"/>
          <w:sz w:val="21"/>
          <w:szCs w:val="21"/>
        </w:rPr>
        <w:t>、</w:t>
      </w:r>
      <w:r>
        <w:rPr>
          <w:rFonts w:hint="eastAsia" w:eastAsia="黑体"/>
          <w:bCs/>
          <w:color w:val="auto"/>
          <w:sz w:val="21"/>
          <w:szCs w:val="21"/>
        </w:rPr>
        <w:t>规格与数量</w:t>
      </w:r>
      <w:bookmarkEnd w:id="6"/>
    </w:p>
    <w:p w14:paraId="564A7E6A">
      <w:pPr>
        <w:ind w:firstLine="420" w:firstLineChars="200"/>
        <w:rPr>
          <w:color w:val="auto"/>
          <w:sz w:val="21"/>
          <w:szCs w:val="21"/>
        </w:rPr>
      </w:pPr>
      <w:r>
        <w:rPr>
          <w:color w:val="auto"/>
          <w:sz w:val="21"/>
          <w:szCs w:val="21"/>
        </w:rPr>
        <w:t>1．</w:t>
      </w:r>
      <w:r>
        <w:rPr>
          <w:rFonts w:hint="eastAsia"/>
          <w:color w:val="auto"/>
          <w:sz w:val="21"/>
          <w:szCs w:val="21"/>
        </w:rPr>
        <w:t>设备需求</w:t>
      </w:r>
    </w:p>
    <w:p w14:paraId="02E07EE7">
      <w:pPr>
        <w:ind w:firstLine="420" w:firstLineChars="200"/>
        <w:rPr>
          <w:color w:val="auto"/>
          <w:sz w:val="21"/>
          <w:szCs w:val="21"/>
        </w:rPr>
      </w:pPr>
      <w:r>
        <w:rPr>
          <w:rFonts w:hint="eastAsia"/>
          <w:color w:val="auto"/>
          <w:sz w:val="21"/>
          <w:szCs w:val="21"/>
        </w:rPr>
        <w:t>招标人必须根据本技术规格书的要求，提供成套的设备（含软件），并在技术建议书中列出详细的设备组成清单。投标报价必须细化到机柜、关键板卡和模块。</w:t>
      </w:r>
    </w:p>
    <w:p w14:paraId="797127F3">
      <w:pPr>
        <w:ind w:firstLine="420" w:firstLineChars="200"/>
        <w:rPr>
          <w:color w:val="auto"/>
          <w:sz w:val="21"/>
          <w:szCs w:val="21"/>
        </w:rPr>
      </w:pPr>
      <w:r>
        <w:rPr>
          <w:rFonts w:hint="eastAsia"/>
          <w:color w:val="auto"/>
          <w:sz w:val="21"/>
          <w:szCs w:val="21"/>
        </w:rPr>
        <w:t>在茅坪港站新设无线调车信号和监控系统，涉及1个车场和1台专用调机。</w:t>
      </w:r>
    </w:p>
    <w:tbl>
      <w:tblPr>
        <w:tblStyle w:val="4"/>
        <w:tblW w:w="9391" w:type="dxa"/>
        <w:jc w:val="center"/>
        <w:tblLayout w:type="fixed"/>
        <w:tblCellMar>
          <w:top w:w="0" w:type="dxa"/>
          <w:left w:w="108" w:type="dxa"/>
          <w:bottom w:w="0" w:type="dxa"/>
          <w:right w:w="108" w:type="dxa"/>
        </w:tblCellMar>
      </w:tblPr>
      <w:tblGrid>
        <w:gridCol w:w="680"/>
        <w:gridCol w:w="2265"/>
        <w:gridCol w:w="3350"/>
        <w:gridCol w:w="1140"/>
        <w:gridCol w:w="670"/>
        <w:gridCol w:w="1286"/>
      </w:tblGrid>
      <w:tr w14:paraId="236031DE">
        <w:tblPrEx>
          <w:tblCellMar>
            <w:top w:w="0" w:type="dxa"/>
            <w:left w:w="108" w:type="dxa"/>
            <w:bottom w:w="0" w:type="dxa"/>
            <w:right w:w="108" w:type="dxa"/>
          </w:tblCellMar>
        </w:tblPrEx>
        <w:trPr>
          <w:trHeight w:val="240" w:hRule="atLeast"/>
          <w:jc w:val="center"/>
        </w:trPr>
        <w:tc>
          <w:tcPr>
            <w:tcW w:w="680" w:type="dxa"/>
            <w:tcBorders>
              <w:top w:val="single" w:color="auto" w:sz="4" w:space="0"/>
              <w:left w:val="single" w:color="auto" w:sz="4" w:space="0"/>
              <w:bottom w:val="single" w:color="auto" w:sz="4" w:space="0"/>
              <w:right w:val="single" w:color="auto" w:sz="4" w:space="0"/>
            </w:tcBorders>
            <w:noWrap/>
            <w:vAlign w:val="center"/>
          </w:tcPr>
          <w:p w14:paraId="051692CA">
            <w:pPr>
              <w:widowControl/>
              <w:jc w:val="center"/>
              <w:rPr>
                <w:color w:val="auto"/>
                <w:sz w:val="21"/>
                <w:szCs w:val="21"/>
              </w:rPr>
            </w:pPr>
            <w:r>
              <w:rPr>
                <w:rFonts w:hAnsi="宋体"/>
                <w:color w:val="auto"/>
                <w:sz w:val="21"/>
                <w:szCs w:val="21"/>
              </w:rPr>
              <w:t>序号</w:t>
            </w:r>
          </w:p>
        </w:tc>
        <w:tc>
          <w:tcPr>
            <w:tcW w:w="2265" w:type="dxa"/>
            <w:tcBorders>
              <w:top w:val="single" w:color="auto" w:sz="4" w:space="0"/>
              <w:left w:val="nil"/>
              <w:bottom w:val="single" w:color="auto" w:sz="4" w:space="0"/>
              <w:right w:val="single" w:color="auto" w:sz="4" w:space="0"/>
            </w:tcBorders>
            <w:noWrap/>
            <w:vAlign w:val="center"/>
          </w:tcPr>
          <w:p w14:paraId="4E09FD03">
            <w:pPr>
              <w:widowControl/>
              <w:jc w:val="center"/>
              <w:rPr>
                <w:color w:val="auto"/>
                <w:sz w:val="21"/>
                <w:szCs w:val="21"/>
              </w:rPr>
            </w:pPr>
            <w:r>
              <w:rPr>
                <w:rFonts w:hAnsi="宋体"/>
                <w:color w:val="auto"/>
                <w:sz w:val="21"/>
                <w:szCs w:val="21"/>
              </w:rPr>
              <w:t>材料名称</w:t>
            </w:r>
          </w:p>
        </w:tc>
        <w:tc>
          <w:tcPr>
            <w:tcW w:w="3350" w:type="dxa"/>
            <w:tcBorders>
              <w:top w:val="single" w:color="auto" w:sz="4" w:space="0"/>
              <w:left w:val="nil"/>
              <w:bottom w:val="single" w:color="auto" w:sz="4" w:space="0"/>
              <w:right w:val="single" w:color="auto" w:sz="4" w:space="0"/>
            </w:tcBorders>
            <w:noWrap/>
            <w:vAlign w:val="center"/>
          </w:tcPr>
          <w:p w14:paraId="703C4DAE">
            <w:pPr>
              <w:widowControl/>
              <w:jc w:val="center"/>
              <w:rPr>
                <w:color w:val="auto"/>
                <w:sz w:val="21"/>
                <w:szCs w:val="21"/>
              </w:rPr>
            </w:pPr>
            <w:r>
              <w:rPr>
                <w:rFonts w:hAnsi="宋体"/>
                <w:color w:val="auto"/>
                <w:sz w:val="21"/>
                <w:szCs w:val="21"/>
              </w:rPr>
              <w:t>规格型号</w:t>
            </w:r>
          </w:p>
        </w:tc>
        <w:tc>
          <w:tcPr>
            <w:tcW w:w="1140" w:type="dxa"/>
            <w:tcBorders>
              <w:top w:val="single" w:color="auto" w:sz="4" w:space="0"/>
              <w:left w:val="nil"/>
              <w:bottom w:val="single" w:color="auto" w:sz="4" w:space="0"/>
              <w:right w:val="single" w:color="auto" w:sz="4" w:space="0"/>
            </w:tcBorders>
            <w:noWrap/>
            <w:vAlign w:val="center"/>
          </w:tcPr>
          <w:p w14:paraId="547CF423">
            <w:pPr>
              <w:widowControl/>
              <w:jc w:val="center"/>
              <w:rPr>
                <w:color w:val="auto"/>
                <w:sz w:val="21"/>
                <w:szCs w:val="21"/>
              </w:rPr>
            </w:pPr>
            <w:r>
              <w:rPr>
                <w:rFonts w:hAnsi="宋体"/>
                <w:color w:val="auto"/>
                <w:sz w:val="21"/>
                <w:szCs w:val="21"/>
              </w:rPr>
              <w:t>计列单位</w:t>
            </w:r>
          </w:p>
        </w:tc>
        <w:tc>
          <w:tcPr>
            <w:tcW w:w="670" w:type="dxa"/>
            <w:tcBorders>
              <w:top w:val="single" w:color="auto" w:sz="4" w:space="0"/>
              <w:left w:val="nil"/>
              <w:bottom w:val="single" w:color="auto" w:sz="4" w:space="0"/>
              <w:right w:val="single" w:color="auto" w:sz="4" w:space="0"/>
            </w:tcBorders>
            <w:noWrap/>
            <w:vAlign w:val="center"/>
          </w:tcPr>
          <w:p w14:paraId="58AEBA28">
            <w:pPr>
              <w:widowControl/>
              <w:jc w:val="center"/>
              <w:rPr>
                <w:color w:val="auto"/>
                <w:sz w:val="21"/>
                <w:szCs w:val="21"/>
              </w:rPr>
            </w:pPr>
            <w:r>
              <w:rPr>
                <w:rFonts w:hAnsi="宋体"/>
                <w:color w:val="auto"/>
                <w:sz w:val="21"/>
                <w:szCs w:val="21"/>
              </w:rPr>
              <w:t>数量</w:t>
            </w:r>
          </w:p>
        </w:tc>
        <w:tc>
          <w:tcPr>
            <w:tcW w:w="1286" w:type="dxa"/>
            <w:tcBorders>
              <w:top w:val="single" w:color="auto" w:sz="4" w:space="0"/>
              <w:left w:val="nil"/>
              <w:bottom w:val="single" w:color="auto" w:sz="4" w:space="0"/>
              <w:right w:val="single" w:color="auto" w:sz="4" w:space="0"/>
            </w:tcBorders>
            <w:noWrap/>
            <w:vAlign w:val="center"/>
          </w:tcPr>
          <w:p w14:paraId="42286965">
            <w:pPr>
              <w:widowControl/>
              <w:jc w:val="center"/>
              <w:rPr>
                <w:color w:val="auto"/>
                <w:sz w:val="21"/>
                <w:szCs w:val="21"/>
              </w:rPr>
            </w:pPr>
            <w:r>
              <w:rPr>
                <w:rFonts w:hAnsi="宋体"/>
                <w:color w:val="auto"/>
                <w:sz w:val="21"/>
                <w:szCs w:val="21"/>
              </w:rPr>
              <w:t>到货地点</w:t>
            </w:r>
          </w:p>
        </w:tc>
      </w:tr>
      <w:tr w14:paraId="50CB90B0">
        <w:tblPrEx>
          <w:tblCellMar>
            <w:top w:w="0" w:type="dxa"/>
            <w:left w:w="108" w:type="dxa"/>
            <w:bottom w:w="0" w:type="dxa"/>
            <w:right w:w="108" w:type="dxa"/>
          </w:tblCellMar>
        </w:tblPrEx>
        <w:trPr>
          <w:trHeight w:val="240" w:hRule="atLeast"/>
          <w:jc w:val="center"/>
        </w:trPr>
        <w:tc>
          <w:tcPr>
            <w:tcW w:w="680" w:type="dxa"/>
            <w:tcBorders>
              <w:top w:val="nil"/>
              <w:left w:val="single" w:color="auto" w:sz="4" w:space="0"/>
              <w:bottom w:val="single" w:color="auto" w:sz="4" w:space="0"/>
              <w:right w:val="single" w:color="auto" w:sz="4" w:space="0"/>
            </w:tcBorders>
            <w:noWrap/>
            <w:vAlign w:val="center"/>
          </w:tcPr>
          <w:p w14:paraId="3C65D3E3">
            <w:pPr>
              <w:widowControl/>
              <w:jc w:val="center"/>
              <w:rPr>
                <w:color w:val="auto"/>
                <w:sz w:val="21"/>
                <w:szCs w:val="21"/>
              </w:rPr>
            </w:pPr>
            <w:r>
              <w:rPr>
                <w:color w:val="auto"/>
                <w:sz w:val="21"/>
                <w:szCs w:val="21"/>
              </w:rPr>
              <w:t>1</w:t>
            </w:r>
          </w:p>
        </w:tc>
        <w:tc>
          <w:tcPr>
            <w:tcW w:w="2265" w:type="dxa"/>
            <w:tcBorders>
              <w:top w:val="nil"/>
              <w:left w:val="nil"/>
              <w:bottom w:val="single" w:color="auto" w:sz="4" w:space="0"/>
              <w:right w:val="single" w:color="auto" w:sz="4" w:space="0"/>
            </w:tcBorders>
            <w:noWrap/>
            <w:vAlign w:val="center"/>
          </w:tcPr>
          <w:p w14:paraId="297E74D2">
            <w:pPr>
              <w:widowControl/>
              <w:jc w:val="center"/>
              <w:rPr>
                <w:color w:val="auto"/>
                <w:sz w:val="21"/>
                <w:szCs w:val="21"/>
              </w:rPr>
            </w:pPr>
            <w:r>
              <w:rPr>
                <w:rFonts w:hint="eastAsia"/>
                <w:color w:val="auto"/>
                <w:sz w:val="21"/>
                <w:szCs w:val="21"/>
              </w:rPr>
              <w:t>天线铁塔</w:t>
            </w:r>
          </w:p>
        </w:tc>
        <w:tc>
          <w:tcPr>
            <w:tcW w:w="3350" w:type="dxa"/>
            <w:tcBorders>
              <w:top w:val="nil"/>
              <w:left w:val="nil"/>
              <w:bottom w:val="single" w:color="auto" w:sz="4" w:space="0"/>
              <w:right w:val="single" w:color="auto" w:sz="4" w:space="0"/>
            </w:tcBorders>
            <w:vAlign w:val="center"/>
          </w:tcPr>
          <w:p w14:paraId="73546F75">
            <w:pPr>
              <w:widowControl/>
              <w:jc w:val="center"/>
              <w:rPr>
                <w:color w:val="auto"/>
                <w:sz w:val="21"/>
                <w:szCs w:val="21"/>
              </w:rPr>
            </w:pPr>
            <w:r>
              <w:rPr>
                <w:rFonts w:hint="eastAsia"/>
                <w:color w:val="auto"/>
                <w:sz w:val="21"/>
                <w:szCs w:val="21"/>
              </w:rPr>
              <w:t>（含基础、图纸及检算书等）</w:t>
            </w:r>
          </w:p>
        </w:tc>
        <w:tc>
          <w:tcPr>
            <w:tcW w:w="1140" w:type="dxa"/>
            <w:tcBorders>
              <w:top w:val="nil"/>
              <w:left w:val="nil"/>
              <w:bottom w:val="single" w:color="auto" w:sz="4" w:space="0"/>
              <w:right w:val="single" w:color="auto" w:sz="4" w:space="0"/>
            </w:tcBorders>
            <w:vAlign w:val="center"/>
          </w:tcPr>
          <w:p w14:paraId="0944CD2C">
            <w:pPr>
              <w:widowControl/>
              <w:jc w:val="center"/>
              <w:rPr>
                <w:color w:val="auto"/>
                <w:sz w:val="21"/>
                <w:szCs w:val="21"/>
              </w:rPr>
            </w:pPr>
            <w:r>
              <w:rPr>
                <w:rFonts w:hint="eastAsia"/>
                <w:color w:val="auto"/>
                <w:sz w:val="21"/>
                <w:szCs w:val="21"/>
              </w:rPr>
              <w:t>座</w:t>
            </w:r>
          </w:p>
        </w:tc>
        <w:tc>
          <w:tcPr>
            <w:tcW w:w="670" w:type="dxa"/>
            <w:tcBorders>
              <w:top w:val="nil"/>
              <w:left w:val="nil"/>
              <w:bottom w:val="single" w:color="auto" w:sz="4" w:space="0"/>
              <w:right w:val="single" w:color="auto" w:sz="4" w:space="0"/>
            </w:tcBorders>
            <w:vAlign w:val="center"/>
          </w:tcPr>
          <w:p w14:paraId="2F7FD997">
            <w:pPr>
              <w:widowControl/>
              <w:jc w:val="center"/>
              <w:rPr>
                <w:color w:val="auto"/>
                <w:sz w:val="21"/>
                <w:szCs w:val="21"/>
              </w:rPr>
            </w:pPr>
            <w:r>
              <w:rPr>
                <w:rFonts w:hint="eastAsia"/>
                <w:color w:val="auto"/>
                <w:sz w:val="21"/>
                <w:szCs w:val="21"/>
              </w:rPr>
              <w:t>1</w:t>
            </w:r>
          </w:p>
        </w:tc>
        <w:tc>
          <w:tcPr>
            <w:tcW w:w="1286" w:type="dxa"/>
            <w:tcBorders>
              <w:top w:val="nil"/>
              <w:left w:val="nil"/>
              <w:bottom w:val="single" w:color="auto" w:sz="4" w:space="0"/>
              <w:right w:val="single" w:color="auto" w:sz="4" w:space="0"/>
            </w:tcBorders>
            <w:noWrap/>
            <w:vAlign w:val="center"/>
          </w:tcPr>
          <w:p w14:paraId="56CB5011">
            <w:pPr>
              <w:widowControl/>
              <w:jc w:val="center"/>
              <w:rPr>
                <w:color w:val="auto"/>
                <w:sz w:val="21"/>
                <w:szCs w:val="21"/>
              </w:rPr>
            </w:pPr>
            <w:r>
              <w:rPr>
                <w:color w:val="auto"/>
                <w:sz w:val="21"/>
                <w:szCs w:val="21"/>
              </w:rPr>
              <w:t>工地材料库</w:t>
            </w:r>
          </w:p>
        </w:tc>
      </w:tr>
      <w:tr w14:paraId="1567986F">
        <w:tblPrEx>
          <w:tblCellMar>
            <w:top w:w="0" w:type="dxa"/>
            <w:left w:w="108" w:type="dxa"/>
            <w:bottom w:w="0" w:type="dxa"/>
            <w:right w:w="108" w:type="dxa"/>
          </w:tblCellMar>
        </w:tblPrEx>
        <w:trPr>
          <w:trHeight w:val="240" w:hRule="atLeast"/>
          <w:jc w:val="center"/>
        </w:trPr>
        <w:tc>
          <w:tcPr>
            <w:tcW w:w="680" w:type="dxa"/>
            <w:tcBorders>
              <w:top w:val="nil"/>
              <w:left w:val="single" w:color="auto" w:sz="4" w:space="0"/>
              <w:bottom w:val="single" w:color="auto" w:sz="4" w:space="0"/>
              <w:right w:val="single" w:color="auto" w:sz="4" w:space="0"/>
            </w:tcBorders>
            <w:noWrap/>
            <w:vAlign w:val="center"/>
          </w:tcPr>
          <w:p w14:paraId="1BEBF729">
            <w:pPr>
              <w:widowControl/>
              <w:jc w:val="center"/>
              <w:rPr>
                <w:rFonts w:hint="eastAsia" w:eastAsia="宋体"/>
                <w:color w:val="auto"/>
                <w:sz w:val="21"/>
                <w:szCs w:val="21"/>
                <w:lang w:eastAsia="zh-CN"/>
              </w:rPr>
            </w:pPr>
            <w:r>
              <w:rPr>
                <w:rFonts w:hint="eastAsia"/>
                <w:color w:val="auto"/>
                <w:sz w:val="21"/>
                <w:szCs w:val="21"/>
                <w:lang w:val="en-US" w:eastAsia="zh-CN"/>
              </w:rPr>
              <w:t>1</w:t>
            </w:r>
          </w:p>
        </w:tc>
        <w:tc>
          <w:tcPr>
            <w:tcW w:w="2265" w:type="dxa"/>
            <w:tcBorders>
              <w:top w:val="nil"/>
              <w:left w:val="nil"/>
              <w:bottom w:val="single" w:color="auto" w:sz="4" w:space="0"/>
              <w:right w:val="single" w:color="auto" w:sz="4" w:space="0"/>
            </w:tcBorders>
            <w:noWrap/>
            <w:vAlign w:val="center"/>
          </w:tcPr>
          <w:p w14:paraId="4675AF05">
            <w:pPr>
              <w:widowControl/>
              <w:jc w:val="center"/>
              <w:rPr>
                <w:color w:val="auto"/>
                <w:sz w:val="21"/>
                <w:szCs w:val="21"/>
              </w:rPr>
            </w:pPr>
            <w:r>
              <w:rPr>
                <w:rFonts w:hint="eastAsia"/>
                <w:color w:val="auto"/>
                <w:sz w:val="21"/>
                <w:szCs w:val="21"/>
              </w:rPr>
              <w:t>便携式无线场强测试仪</w:t>
            </w:r>
          </w:p>
        </w:tc>
        <w:tc>
          <w:tcPr>
            <w:tcW w:w="3350" w:type="dxa"/>
            <w:tcBorders>
              <w:top w:val="nil"/>
              <w:left w:val="nil"/>
              <w:bottom w:val="single" w:color="auto" w:sz="4" w:space="0"/>
              <w:right w:val="single" w:color="auto" w:sz="4" w:space="0"/>
            </w:tcBorders>
            <w:vAlign w:val="center"/>
          </w:tcPr>
          <w:p w14:paraId="2BC82577">
            <w:pPr>
              <w:widowControl/>
              <w:jc w:val="center"/>
              <w:rPr>
                <w:color w:val="auto"/>
                <w:sz w:val="21"/>
                <w:szCs w:val="21"/>
              </w:rPr>
            </w:pPr>
          </w:p>
        </w:tc>
        <w:tc>
          <w:tcPr>
            <w:tcW w:w="1140" w:type="dxa"/>
            <w:tcBorders>
              <w:top w:val="nil"/>
              <w:left w:val="nil"/>
              <w:bottom w:val="single" w:color="auto" w:sz="4" w:space="0"/>
              <w:right w:val="single" w:color="auto" w:sz="4" w:space="0"/>
            </w:tcBorders>
            <w:vAlign w:val="center"/>
          </w:tcPr>
          <w:p w14:paraId="3852071F">
            <w:pPr>
              <w:widowControl/>
              <w:jc w:val="center"/>
              <w:rPr>
                <w:color w:val="auto"/>
                <w:sz w:val="21"/>
                <w:szCs w:val="21"/>
              </w:rPr>
            </w:pPr>
            <w:r>
              <w:rPr>
                <w:rFonts w:hint="eastAsia"/>
                <w:color w:val="auto"/>
                <w:sz w:val="21"/>
                <w:szCs w:val="21"/>
              </w:rPr>
              <w:t>台</w:t>
            </w:r>
          </w:p>
        </w:tc>
        <w:tc>
          <w:tcPr>
            <w:tcW w:w="670" w:type="dxa"/>
            <w:tcBorders>
              <w:top w:val="nil"/>
              <w:left w:val="nil"/>
              <w:bottom w:val="single" w:color="auto" w:sz="4" w:space="0"/>
              <w:right w:val="single" w:color="auto" w:sz="4" w:space="0"/>
            </w:tcBorders>
            <w:vAlign w:val="center"/>
          </w:tcPr>
          <w:p w14:paraId="3DE7EF47">
            <w:pPr>
              <w:widowControl/>
              <w:jc w:val="center"/>
              <w:rPr>
                <w:color w:val="auto"/>
                <w:sz w:val="21"/>
                <w:szCs w:val="21"/>
              </w:rPr>
            </w:pPr>
            <w:r>
              <w:rPr>
                <w:rFonts w:hint="eastAsia"/>
                <w:color w:val="auto"/>
                <w:sz w:val="21"/>
                <w:szCs w:val="21"/>
              </w:rPr>
              <w:t>1</w:t>
            </w:r>
          </w:p>
        </w:tc>
        <w:tc>
          <w:tcPr>
            <w:tcW w:w="1286" w:type="dxa"/>
            <w:tcBorders>
              <w:top w:val="nil"/>
              <w:left w:val="nil"/>
              <w:bottom w:val="single" w:color="auto" w:sz="4" w:space="0"/>
              <w:right w:val="single" w:color="auto" w:sz="4" w:space="0"/>
            </w:tcBorders>
            <w:noWrap/>
            <w:vAlign w:val="center"/>
          </w:tcPr>
          <w:p w14:paraId="05D3476B">
            <w:pPr>
              <w:widowControl/>
              <w:jc w:val="center"/>
              <w:rPr>
                <w:color w:val="auto"/>
                <w:sz w:val="21"/>
                <w:szCs w:val="21"/>
              </w:rPr>
            </w:pPr>
            <w:r>
              <w:rPr>
                <w:color w:val="auto"/>
                <w:sz w:val="21"/>
                <w:szCs w:val="21"/>
              </w:rPr>
              <w:t>工地材料库</w:t>
            </w:r>
          </w:p>
        </w:tc>
      </w:tr>
    </w:tbl>
    <w:p w14:paraId="424F9585">
      <w:pPr>
        <w:ind w:firstLine="420" w:firstLineChars="200"/>
        <w:rPr>
          <w:color w:val="auto"/>
          <w:sz w:val="21"/>
          <w:szCs w:val="21"/>
        </w:rPr>
      </w:pPr>
      <w:r>
        <w:rPr>
          <w:rFonts w:hint="eastAsia"/>
          <w:color w:val="auto"/>
          <w:sz w:val="21"/>
          <w:szCs w:val="21"/>
        </w:rPr>
        <w:t>★2</w:t>
      </w:r>
      <w:r>
        <w:rPr>
          <w:color w:val="auto"/>
          <w:sz w:val="21"/>
          <w:szCs w:val="21"/>
        </w:rPr>
        <w:t>．</w:t>
      </w:r>
      <w:r>
        <w:rPr>
          <w:rFonts w:hint="eastAsia"/>
          <w:color w:val="auto"/>
          <w:sz w:val="21"/>
          <w:szCs w:val="21"/>
        </w:rPr>
        <w:t>备品备件</w:t>
      </w:r>
    </w:p>
    <w:p w14:paraId="0227D5D4">
      <w:pPr>
        <w:ind w:firstLine="420" w:firstLineChars="200"/>
        <w:rPr>
          <w:color w:val="auto"/>
          <w:sz w:val="21"/>
          <w:szCs w:val="21"/>
        </w:rPr>
      </w:pPr>
      <w:r>
        <w:rPr>
          <w:rFonts w:hint="eastAsia"/>
          <w:color w:val="auto"/>
          <w:sz w:val="21"/>
          <w:szCs w:val="21"/>
        </w:rPr>
        <w:t>投标人必须根据所建议的整机设备中关键板卡和模块的数量，按10%的比例提供备品备件，并列出详细的备品备件清单。投标报价中必须列出备品备件名称、数量、单价、合价，备品备件费用计入总报价。</w:t>
      </w:r>
    </w:p>
    <w:p w14:paraId="4D42D692">
      <w:pPr>
        <w:ind w:firstLine="420" w:firstLineChars="200"/>
        <w:rPr>
          <w:color w:val="auto"/>
          <w:sz w:val="21"/>
          <w:szCs w:val="21"/>
        </w:rPr>
      </w:pPr>
      <w:r>
        <w:rPr>
          <w:rFonts w:hint="eastAsia"/>
          <w:color w:val="auto"/>
          <w:sz w:val="21"/>
          <w:szCs w:val="21"/>
        </w:rPr>
        <w:t>3</w:t>
      </w:r>
      <w:r>
        <w:rPr>
          <w:color w:val="auto"/>
          <w:sz w:val="21"/>
          <w:szCs w:val="21"/>
        </w:rPr>
        <w:t>．</w:t>
      </w:r>
      <w:r>
        <w:rPr>
          <w:rFonts w:hint="eastAsia"/>
          <w:color w:val="auto"/>
          <w:sz w:val="21"/>
          <w:szCs w:val="21"/>
        </w:rPr>
        <w:t>随机配件</w:t>
      </w:r>
    </w:p>
    <w:p w14:paraId="182E6D7E">
      <w:pPr>
        <w:ind w:firstLine="420" w:firstLineChars="200"/>
        <w:rPr>
          <w:color w:val="auto"/>
          <w:sz w:val="21"/>
          <w:szCs w:val="21"/>
        </w:rPr>
      </w:pPr>
      <w:r>
        <w:rPr>
          <w:rFonts w:hint="eastAsia"/>
          <w:color w:val="auto"/>
          <w:sz w:val="21"/>
          <w:szCs w:val="21"/>
        </w:rPr>
        <w:t>投标人应免费提供必要的随机配件，技术建议书中应列出随机配件清单。</w:t>
      </w:r>
    </w:p>
    <w:p w14:paraId="482B4C12">
      <w:pPr>
        <w:ind w:firstLine="420" w:firstLineChars="200"/>
        <w:rPr>
          <w:color w:val="auto"/>
          <w:sz w:val="21"/>
          <w:szCs w:val="21"/>
        </w:rPr>
      </w:pPr>
      <w:r>
        <w:rPr>
          <w:rFonts w:hint="eastAsia"/>
          <w:color w:val="auto"/>
          <w:sz w:val="21"/>
          <w:szCs w:val="21"/>
        </w:rPr>
        <w:t>4</w:t>
      </w:r>
      <w:r>
        <w:rPr>
          <w:color w:val="auto"/>
          <w:sz w:val="21"/>
          <w:szCs w:val="21"/>
        </w:rPr>
        <w:t>．</w:t>
      </w:r>
      <w:r>
        <w:rPr>
          <w:rFonts w:hint="eastAsia"/>
          <w:color w:val="auto"/>
          <w:sz w:val="21"/>
          <w:szCs w:val="21"/>
        </w:rPr>
        <w:t>质保期内的备品备件</w:t>
      </w:r>
    </w:p>
    <w:p w14:paraId="40122B73">
      <w:pPr>
        <w:ind w:firstLine="420" w:firstLineChars="200"/>
        <w:rPr>
          <w:color w:val="auto"/>
          <w:sz w:val="21"/>
          <w:szCs w:val="21"/>
        </w:rPr>
      </w:pPr>
      <w:r>
        <w:rPr>
          <w:rFonts w:hint="eastAsia"/>
          <w:color w:val="auto"/>
          <w:sz w:val="21"/>
          <w:szCs w:val="21"/>
        </w:rPr>
        <w:t>投标人必须免费提供质保期内的备品备件，应以保证设备正常使用、不影响铁路运输、满足现场运营维护需求为原则，同运营维护部门协商确定存放于现场的质保期备品备件种类和数量。</w:t>
      </w:r>
    </w:p>
    <w:p w14:paraId="1419BD9C">
      <w:pPr>
        <w:ind w:firstLine="420" w:firstLineChars="200"/>
        <w:rPr>
          <w:color w:val="auto"/>
          <w:sz w:val="21"/>
          <w:szCs w:val="21"/>
        </w:rPr>
      </w:pPr>
      <w:r>
        <w:rPr>
          <w:rFonts w:hint="eastAsia"/>
          <w:color w:val="auto"/>
          <w:sz w:val="21"/>
          <w:szCs w:val="21"/>
        </w:rPr>
        <w:t>5</w:t>
      </w:r>
      <w:r>
        <w:rPr>
          <w:color w:val="auto"/>
          <w:sz w:val="21"/>
          <w:szCs w:val="21"/>
        </w:rPr>
        <w:t>．</w:t>
      </w:r>
      <w:r>
        <w:rPr>
          <w:rFonts w:hint="eastAsia"/>
          <w:color w:val="auto"/>
          <w:sz w:val="21"/>
          <w:szCs w:val="21"/>
        </w:rPr>
        <w:t>专用仪器仪表和工具</w:t>
      </w:r>
    </w:p>
    <w:p w14:paraId="3A8BD38D">
      <w:pPr>
        <w:ind w:firstLine="420" w:firstLineChars="200"/>
        <w:rPr>
          <w:color w:val="auto"/>
          <w:sz w:val="21"/>
          <w:szCs w:val="21"/>
        </w:rPr>
      </w:pPr>
      <w:r>
        <w:rPr>
          <w:rFonts w:hint="eastAsia"/>
          <w:color w:val="auto"/>
          <w:sz w:val="21"/>
          <w:szCs w:val="21"/>
        </w:rPr>
        <w:t>投标人应在技术建议书中列出设备安装、调试以及维护用的专用测试仪器仪表和工具的清单和单价，该部分费用不计入总价。</w:t>
      </w:r>
    </w:p>
    <w:p w14:paraId="213FA5CF">
      <w:pPr>
        <w:ind w:firstLine="420" w:firstLineChars="200"/>
        <w:rPr>
          <w:color w:val="auto"/>
          <w:sz w:val="21"/>
          <w:szCs w:val="21"/>
        </w:rPr>
      </w:pPr>
      <w:r>
        <w:rPr>
          <w:rFonts w:hint="eastAsia"/>
          <w:color w:val="auto"/>
          <w:sz w:val="21"/>
          <w:szCs w:val="21"/>
        </w:rPr>
        <w:t>6</w:t>
      </w:r>
      <w:r>
        <w:rPr>
          <w:color w:val="auto"/>
          <w:sz w:val="21"/>
          <w:szCs w:val="21"/>
        </w:rPr>
        <w:t>．</w:t>
      </w:r>
      <w:r>
        <w:rPr>
          <w:rFonts w:hint="eastAsia"/>
          <w:color w:val="auto"/>
          <w:sz w:val="21"/>
          <w:szCs w:val="21"/>
        </w:rPr>
        <w:t>其他</w:t>
      </w:r>
    </w:p>
    <w:p w14:paraId="21C8CB05">
      <w:pPr>
        <w:ind w:firstLine="420" w:firstLineChars="200"/>
        <w:rPr>
          <w:color w:val="auto"/>
          <w:sz w:val="21"/>
          <w:szCs w:val="21"/>
        </w:rPr>
      </w:pPr>
      <w:r>
        <w:rPr>
          <w:rFonts w:hint="eastAsia"/>
          <w:color w:val="auto"/>
          <w:sz w:val="21"/>
          <w:szCs w:val="21"/>
        </w:rPr>
        <w:t>① 投标人提供的设备机柜（架）应采用招标人统一确认的尺寸和色号。</w:t>
      </w:r>
    </w:p>
    <w:p w14:paraId="2F2149F9">
      <w:pPr>
        <w:ind w:firstLine="420" w:firstLineChars="200"/>
        <w:rPr>
          <w:color w:val="auto"/>
          <w:sz w:val="21"/>
          <w:szCs w:val="21"/>
        </w:rPr>
      </w:pPr>
      <w:r>
        <w:rPr>
          <w:rFonts w:hint="eastAsia"/>
          <w:color w:val="auto"/>
          <w:sz w:val="21"/>
          <w:szCs w:val="21"/>
        </w:rPr>
        <w:t>② 在合同执行过程中，招标人保留根据实际工程需要对设备供货数量进行调整的权利。各种规格设备的单价在合同执行过程中不变，总价按实际供货数量计算。招标人如有调整，应在预定交货期前1个月通知投标人。</w:t>
      </w:r>
    </w:p>
    <w:p w14:paraId="2B1F900D">
      <w:pPr>
        <w:ind w:firstLine="420" w:firstLineChars="200"/>
        <w:rPr>
          <w:color w:val="auto"/>
          <w:sz w:val="21"/>
          <w:szCs w:val="21"/>
        </w:rPr>
      </w:pPr>
      <w:r>
        <w:rPr>
          <w:rFonts w:hint="eastAsia"/>
          <w:color w:val="auto"/>
          <w:sz w:val="21"/>
          <w:szCs w:val="21"/>
        </w:rPr>
        <w:t>③ 设备的计划交货日期为合同签字后的3个月内。</w:t>
      </w:r>
    </w:p>
    <w:p w14:paraId="74E61E35">
      <w:pPr>
        <w:ind w:firstLine="420" w:firstLineChars="200"/>
        <w:rPr>
          <w:color w:val="auto"/>
          <w:sz w:val="21"/>
          <w:szCs w:val="21"/>
        </w:rPr>
      </w:pPr>
      <w:r>
        <w:rPr>
          <w:rFonts w:hint="eastAsia"/>
          <w:color w:val="auto"/>
          <w:sz w:val="21"/>
          <w:szCs w:val="21"/>
        </w:rPr>
        <w:t>④ 设备的交货地点为现场安装点。</w:t>
      </w:r>
    </w:p>
    <w:p w14:paraId="3B21CF24">
      <w:pPr>
        <w:spacing w:line="480" w:lineRule="auto"/>
        <w:ind w:firstLine="420" w:firstLineChars="200"/>
        <w:outlineLvl w:val="1"/>
        <w:rPr>
          <w:rFonts w:eastAsia="黑体"/>
          <w:color w:val="auto"/>
          <w:sz w:val="21"/>
          <w:szCs w:val="21"/>
        </w:rPr>
      </w:pPr>
      <w:bookmarkStart w:id="7" w:name="_Toc164609971"/>
      <w:r>
        <w:rPr>
          <w:rFonts w:hint="eastAsia"/>
          <w:color w:val="auto"/>
          <w:sz w:val="21"/>
          <w:szCs w:val="21"/>
        </w:rPr>
        <w:t>★</w:t>
      </w:r>
      <w:r>
        <w:rPr>
          <w:rFonts w:hint="eastAsia" w:eastAsia="黑体"/>
          <w:color w:val="auto"/>
          <w:sz w:val="21"/>
          <w:szCs w:val="21"/>
        </w:rPr>
        <w:t>五</w:t>
      </w:r>
      <w:r>
        <w:rPr>
          <w:rFonts w:eastAsia="黑体"/>
          <w:color w:val="auto"/>
          <w:sz w:val="21"/>
          <w:szCs w:val="21"/>
        </w:rPr>
        <w:t>、</w:t>
      </w:r>
      <w:r>
        <w:rPr>
          <w:rFonts w:hint="eastAsia" w:eastAsia="黑体"/>
          <w:bCs/>
          <w:color w:val="auto"/>
          <w:sz w:val="21"/>
          <w:szCs w:val="21"/>
        </w:rPr>
        <w:t>技术资格</w:t>
      </w:r>
      <w:bookmarkEnd w:id="7"/>
    </w:p>
    <w:p w14:paraId="1B146389">
      <w:pPr>
        <w:ind w:firstLine="420" w:firstLineChars="200"/>
        <w:rPr>
          <w:color w:val="auto"/>
          <w:sz w:val="21"/>
          <w:szCs w:val="21"/>
        </w:rPr>
      </w:pPr>
      <w:r>
        <w:rPr>
          <w:rFonts w:hint="eastAsia"/>
          <w:color w:val="auto"/>
          <w:sz w:val="21"/>
          <w:szCs w:val="21"/>
        </w:rPr>
        <w:t>1</w:t>
      </w:r>
      <w:r>
        <w:rPr>
          <w:color w:val="auto"/>
          <w:sz w:val="21"/>
          <w:szCs w:val="21"/>
        </w:rPr>
        <w:t>．</w:t>
      </w:r>
      <w:r>
        <w:rPr>
          <w:rFonts w:hint="eastAsia"/>
          <w:color w:val="auto"/>
          <w:sz w:val="21"/>
          <w:szCs w:val="21"/>
        </w:rPr>
        <w:t>投标人须提供近期内同型号设备的部级质检部门的检测报告。</w:t>
      </w:r>
    </w:p>
    <w:p w14:paraId="783B2EDF">
      <w:pPr>
        <w:ind w:firstLine="420" w:firstLineChars="200"/>
        <w:rPr>
          <w:color w:val="auto"/>
          <w:sz w:val="21"/>
          <w:szCs w:val="21"/>
        </w:rPr>
      </w:pPr>
      <w:r>
        <w:rPr>
          <w:rFonts w:hint="eastAsia"/>
          <w:color w:val="auto"/>
          <w:sz w:val="21"/>
          <w:szCs w:val="21"/>
        </w:rPr>
        <w:t>★2</w:t>
      </w:r>
      <w:r>
        <w:rPr>
          <w:color w:val="auto"/>
          <w:sz w:val="21"/>
          <w:szCs w:val="21"/>
        </w:rPr>
        <w:t>．</w:t>
      </w:r>
      <w:r>
        <w:rPr>
          <w:rFonts w:hint="eastAsia"/>
          <w:color w:val="auto"/>
          <w:sz w:val="21"/>
          <w:szCs w:val="21"/>
        </w:rPr>
        <w:t>投标人提供的无线调车机车信号和监控系统设备须符合国家及行业准入规定。</w:t>
      </w:r>
    </w:p>
    <w:p w14:paraId="11821262">
      <w:pPr>
        <w:spacing w:line="480" w:lineRule="auto"/>
        <w:ind w:firstLine="420" w:firstLineChars="200"/>
        <w:outlineLvl w:val="1"/>
        <w:rPr>
          <w:rFonts w:eastAsia="黑体"/>
          <w:color w:val="auto"/>
          <w:sz w:val="21"/>
          <w:szCs w:val="21"/>
        </w:rPr>
      </w:pPr>
      <w:bookmarkStart w:id="8" w:name="_Toc164609972"/>
      <w:r>
        <w:rPr>
          <w:rFonts w:hint="eastAsia" w:eastAsia="黑体"/>
          <w:color w:val="auto"/>
          <w:sz w:val="21"/>
          <w:szCs w:val="21"/>
        </w:rPr>
        <w:t>六</w:t>
      </w:r>
      <w:r>
        <w:rPr>
          <w:rFonts w:eastAsia="黑体"/>
          <w:color w:val="auto"/>
          <w:sz w:val="21"/>
          <w:szCs w:val="21"/>
        </w:rPr>
        <w:t>、</w:t>
      </w:r>
      <w:r>
        <w:rPr>
          <w:rFonts w:hint="eastAsia" w:eastAsia="黑体"/>
          <w:bCs/>
          <w:color w:val="auto"/>
          <w:sz w:val="21"/>
          <w:szCs w:val="21"/>
        </w:rPr>
        <w:t>产品技术标准和规范</w:t>
      </w:r>
      <w:bookmarkEnd w:id="8"/>
    </w:p>
    <w:p w14:paraId="4607E655">
      <w:pPr>
        <w:ind w:firstLine="420" w:firstLineChars="200"/>
        <w:rPr>
          <w:color w:val="auto"/>
          <w:sz w:val="21"/>
          <w:szCs w:val="21"/>
        </w:rPr>
      </w:pPr>
      <w:r>
        <w:rPr>
          <w:rFonts w:hint="eastAsia"/>
          <w:color w:val="auto"/>
          <w:sz w:val="21"/>
          <w:szCs w:val="21"/>
        </w:rPr>
        <w:t>无线调车机车信号和监控系统应满足，但不限于满足下列标准和规范：</w:t>
      </w:r>
    </w:p>
    <w:p w14:paraId="381C3594">
      <w:pPr>
        <w:ind w:firstLine="420" w:firstLineChars="200"/>
        <w:rPr>
          <w:color w:val="auto"/>
          <w:sz w:val="21"/>
          <w:szCs w:val="21"/>
        </w:rPr>
      </w:pPr>
      <w:r>
        <w:rPr>
          <w:rFonts w:hint="eastAsia"/>
          <w:color w:val="auto"/>
          <w:sz w:val="21"/>
          <w:szCs w:val="21"/>
        </w:rPr>
        <w:t>《无线调车机车信号和监控系统技术条件》（TB/T 3505-2018）</w:t>
      </w:r>
    </w:p>
    <w:p w14:paraId="2D403B6B">
      <w:pPr>
        <w:ind w:firstLine="420" w:firstLineChars="200"/>
        <w:rPr>
          <w:color w:val="auto"/>
          <w:sz w:val="21"/>
          <w:szCs w:val="21"/>
        </w:rPr>
      </w:pPr>
      <w:r>
        <w:rPr>
          <w:rFonts w:hint="eastAsia"/>
          <w:color w:val="auto"/>
          <w:sz w:val="21"/>
          <w:szCs w:val="21"/>
        </w:rPr>
        <w:t>《无线调车机车信号和监控系统暂行技术规范》（铁总运〔2014〕182号）</w:t>
      </w:r>
    </w:p>
    <w:p w14:paraId="14344ABF">
      <w:pPr>
        <w:ind w:firstLine="420" w:firstLineChars="200"/>
        <w:rPr>
          <w:color w:val="auto"/>
          <w:sz w:val="21"/>
          <w:szCs w:val="21"/>
        </w:rPr>
      </w:pPr>
      <w:r>
        <w:rPr>
          <w:rFonts w:hint="eastAsia"/>
          <w:color w:val="auto"/>
          <w:sz w:val="21"/>
          <w:szCs w:val="21"/>
        </w:rPr>
        <w:t>《无线调车机车信号和监控系统与铁路列车调度指挥系统接口暂行规范》（铁总运〔2014〕321号）</w:t>
      </w:r>
    </w:p>
    <w:p w14:paraId="352430D1">
      <w:pPr>
        <w:ind w:firstLine="420" w:firstLineChars="200"/>
        <w:rPr>
          <w:color w:val="auto"/>
          <w:sz w:val="21"/>
          <w:szCs w:val="21"/>
        </w:rPr>
      </w:pPr>
      <w:r>
        <w:rPr>
          <w:rFonts w:hint="eastAsia"/>
          <w:color w:val="auto"/>
          <w:sz w:val="21"/>
          <w:szCs w:val="21"/>
        </w:rPr>
        <w:t>《无线调车机车信号和监控系统与车站计算机联锁系统接口暂行规范》（铁总运〔2014〕322号）</w:t>
      </w:r>
    </w:p>
    <w:p w14:paraId="48719AF1">
      <w:pPr>
        <w:ind w:firstLine="420" w:firstLineChars="200"/>
        <w:rPr>
          <w:color w:val="auto"/>
          <w:sz w:val="21"/>
          <w:szCs w:val="21"/>
        </w:rPr>
      </w:pPr>
      <w:r>
        <w:rPr>
          <w:rFonts w:hint="eastAsia"/>
          <w:color w:val="auto"/>
          <w:sz w:val="21"/>
          <w:szCs w:val="21"/>
        </w:rPr>
        <w:t>《普速铁路信号维护规则》（铁总运〔2015〕238号）</w:t>
      </w:r>
    </w:p>
    <w:p w14:paraId="4951E14C">
      <w:pPr>
        <w:spacing w:line="480" w:lineRule="auto"/>
        <w:ind w:firstLine="420" w:firstLineChars="200"/>
        <w:outlineLvl w:val="1"/>
        <w:rPr>
          <w:rFonts w:eastAsia="黑体"/>
          <w:color w:val="auto"/>
          <w:sz w:val="21"/>
          <w:szCs w:val="21"/>
        </w:rPr>
      </w:pPr>
      <w:bookmarkStart w:id="9" w:name="_Toc164609973"/>
      <w:r>
        <w:rPr>
          <w:rFonts w:hint="eastAsia" w:eastAsia="黑体"/>
          <w:color w:val="auto"/>
          <w:sz w:val="21"/>
          <w:szCs w:val="21"/>
        </w:rPr>
        <w:t>★七</w:t>
      </w:r>
      <w:r>
        <w:rPr>
          <w:rFonts w:eastAsia="黑体"/>
          <w:color w:val="auto"/>
          <w:sz w:val="21"/>
          <w:szCs w:val="21"/>
        </w:rPr>
        <w:t>、</w:t>
      </w:r>
      <w:r>
        <w:rPr>
          <w:rFonts w:hint="eastAsia" w:eastAsia="黑体"/>
          <w:bCs/>
          <w:color w:val="auto"/>
          <w:sz w:val="21"/>
          <w:szCs w:val="21"/>
        </w:rPr>
        <w:t>技术要求及技术条件</w:t>
      </w:r>
      <w:bookmarkEnd w:id="9"/>
    </w:p>
    <w:p w14:paraId="653D00F7">
      <w:pPr>
        <w:ind w:firstLine="420" w:firstLineChars="200"/>
        <w:rPr>
          <w:color w:val="auto"/>
          <w:sz w:val="21"/>
          <w:szCs w:val="21"/>
        </w:rPr>
      </w:pPr>
      <w:r>
        <w:rPr>
          <w:rFonts w:hint="eastAsia"/>
          <w:color w:val="auto"/>
          <w:sz w:val="21"/>
          <w:szCs w:val="21"/>
        </w:rPr>
        <w:t>1</w:t>
      </w:r>
      <w:r>
        <w:rPr>
          <w:color w:val="auto"/>
          <w:sz w:val="21"/>
          <w:szCs w:val="21"/>
        </w:rPr>
        <w:t>．</w:t>
      </w:r>
      <w:r>
        <w:rPr>
          <w:rFonts w:hint="eastAsia"/>
          <w:color w:val="auto"/>
          <w:sz w:val="21"/>
          <w:szCs w:val="21"/>
        </w:rPr>
        <w:t>调车机车信号和监控系统对车站联锁控制区内的调车机车作业，包括单机调车、车列的推送、牵出、连挂，进行安全防护。</w:t>
      </w:r>
    </w:p>
    <w:p w14:paraId="705AF432">
      <w:pPr>
        <w:ind w:firstLine="420" w:firstLineChars="200"/>
        <w:rPr>
          <w:color w:val="auto"/>
          <w:sz w:val="21"/>
          <w:szCs w:val="21"/>
        </w:rPr>
      </w:pPr>
      <w:r>
        <w:rPr>
          <w:rFonts w:hint="eastAsia"/>
          <w:color w:val="auto"/>
          <w:sz w:val="21"/>
          <w:szCs w:val="21"/>
        </w:rPr>
        <w:t>2</w:t>
      </w:r>
      <w:r>
        <w:rPr>
          <w:color w:val="auto"/>
          <w:sz w:val="21"/>
          <w:szCs w:val="21"/>
        </w:rPr>
        <w:t>．</w:t>
      </w:r>
      <w:r>
        <w:rPr>
          <w:rFonts w:hint="eastAsia"/>
          <w:color w:val="auto"/>
          <w:sz w:val="21"/>
          <w:szCs w:val="21"/>
        </w:rPr>
        <w:t>调车机车信号和监控系统与CTC系统联网时，应能够与CTC系统配合实现司机申请站内调车进路的开放及调车进路的遥控等功能。</w:t>
      </w:r>
    </w:p>
    <w:p w14:paraId="6C5714A7">
      <w:pPr>
        <w:ind w:firstLine="420" w:firstLineChars="200"/>
        <w:rPr>
          <w:color w:val="auto"/>
          <w:sz w:val="21"/>
          <w:szCs w:val="21"/>
        </w:rPr>
      </w:pPr>
      <w:r>
        <w:rPr>
          <w:rFonts w:hint="eastAsia"/>
          <w:color w:val="auto"/>
          <w:sz w:val="21"/>
          <w:szCs w:val="21"/>
        </w:rPr>
        <w:t>3</w:t>
      </w:r>
      <w:r>
        <w:rPr>
          <w:color w:val="auto"/>
          <w:sz w:val="21"/>
          <w:szCs w:val="21"/>
        </w:rPr>
        <w:t>．</w:t>
      </w:r>
      <w:r>
        <w:rPr>
          <w:rFonts w:hint="eastAsia"/>
          <w:color w:val="auto"/>
          <w:sz w:val="21"/>
          <w:szCs w:val="21"/>
        </w:rPr>
        <w:t>调车机车信号和监控系统的使用条件和使用范围、系统结构、基本功能、技术指标和技术要求满足《无线调车机车信号和监控系统技术条件》（TB/T 3505-2018）的要求。</w:t>
      </w:r>
    </w:p>
    <w:p w14:paraId="63C0397C">
      <w:pPr>
        <w:ind w:firstLine="420" w:firstLineChars="200"/>
        <w:rPr>
          <w:color w:val="auto"/>
          <w:sz w:val="21"/>
          <w:szCs w:val="21"/>
        </w:rPr>
      </w:pPr>
      <w:r>
        <w:rPr>
          <w:rFonts w:hint="eastAsia"/>
          <w:color w:val="auto"/>
          <w:sz w:val="21"/>
          <w:szCs w:val="21"/>
        </w:rPr>
        <w:t>4</w:t>
      </w:r>
      <w:r>
        <w:rPr>
          <w:color w:val="auto"/>
          <w:sz w:val="21"/>
          <w:szCs w:val="21"/>
        </w:rPr>
        <w:t>．</w:t>
      </w:r>
      <w:r>
        <w:rPr>
          <w:rFonts w:hint="eastAsia"/>
          <w:color w:val="auto"/>
          <w:sz w:val="21"/>
          <w:szCs w:val="21"/>
        </w:rPr>
        <w:t>调车机车信号和监控系统系统的记录数据保存在地面上位机上，记录的数据至少可以保存三个月以上。</w:t>
      </w:r>
    </w:p>
    <w:p w14:paraId="606A3CC3">
      <w:pPr>
        <w:ind w:firstLine="420" w:firstLineChars="200"/>
        <w:rPr>
          <w:color w:val="auto"/>
          <w:sz w:val="21"/>
          <w:szCs w:val="21"/>
        </w:rPr>
      </w:pPr>
      <w:r>
        <w:rPr>
          <w:rFonts w:hint="eastAsia"/>
          <w:color w:val="auto"/>
          <w:sz w:val="21"/>
          <w:szCs w:val="21"/>
        </w:rPr>
        <w:t>5</w:t>
      </w:r>
      <w:r>
        <w:rPr>
          <w:color w:val="auto"/>
          <w:sz w:val="21"/>
          <w:szCs w:val="21"/>
        </w:rPr>
        <w:t>．</w:t>
      </w:r>
      <w:r>
        <w:rPr>
          <w:rFonts w:hint="eastAsia"/>
          <w:color w:val="auto"/>
          <w:sz w:val="21"/>
          <w:szCs w:val="21"/>
        </w:rPr>
        <w:t>系统应遵循相关行业标准规范与联锁、CTC/TDCS、LKJ等其他系统结合并与其他系统交换数据。投标人需提供相关的接口的资料，至少包括接口电路、通信协议、信息格式和内容定义。</w:t>
      </w:r>
    </w:p>
    <w:p w14:paraId="66A9E233">
      <w:pPr>
        <w:ind w:firstLine="420" w:firstLineChars="200"/>
        <w:rPr>
          <w:color w:val="auto"/>
          <w:sz w:val="21"/>
          <w:szCs w:val="21"/>
        </w:rPr>
      </w:pPr>
      <w:r>
        <w:rPr>
          <w:rFonts w:hint="eastAsia"/>
          <w:color w:val="auto"/>
          <w:sz w:val="21"/>
          <w:szCs w:val="21"/>
        </w:rPr>
        <w:t>6</w:t>
      </w:r>
      <w:r>
        <w:rPr>
          <w:color w:val="auto"/>
          <w:sz w:val="21"/>
          <w:szCs w:val="21"/>
        </w:rPr>
        <w:t>．</w:t>
      </w:r>
      <w:r>
        <w:rPr>
          <w:rFonts w:hint="eastAsia"/>
          <w:color w:val="auto"/>
          <w:sz w:val="21"/>
          <w:szCs w:val="21"/>
        </w:rPr>
        <w:t>本工程设备用电、用房由招标人负责提供，其中信号设备房屋预留有防雷接地端子，接地电阻值不大于1欧姆。投标人应根据线调车机车信号和监控系统设备配置情况，详细提出系统的房屋要求、用电要求、场地防雷要求、通道要求等。</w:t>
      </w:r>
    </w:p>
    <w:p w14:paraId="1E57A4CF">
      <w:pPr>
        <w:ind w:firstLine="420" w:firstLineChars="200"/>
        <w:rPr>
          <w:color w:val="auto"/>
          <w:sz w:val="21"/>
          <w:szCs w:val="21"/>
        </w:rPr>
      </w:pPr>
      <w:r>
        <w:rPr>
          <w:rFonts w:hint="eastAsia"/>
          <w:color w:val="auto"/>
          <w:sz w:val="21"/>
          <w:szCs w:val="21"/>
        </w:rPr>
        <w:t>7</w:t>
      </w:r>
      <w:r>
        <w:rPr>
          <w:color w:val="auto"/>
          <w:sz w:val="21"/>
          <w:szCs w:val="21"/>
        </w:rPr>
        <w:t>．</w:t>
      </w:r>
      <w:r>
        <w:rPr>
          <w:rFonts w:hint="eastAsia"/>
          <w:color w:val="auto"/>
          <w:sz w:val="21"/>
          <w:szCs w:val="21"/>
        </w:rPr>
        <w:t>本规格书提出的是最低限度的技术要求，并未对一切技术细节作出规定，也未充分引述有关标准和规范的条文，投标人应提供符合本规格书和有关部标及国家工业标准的优质产品。</w:t>
      </w:r>
    </w:p>
    <w:p w14:paraId="235A4A5B">
      <w:pPr>
        <w:spacing w:line="480" w:lineRule="auto"/>
        <w:ind w:firstLine="420" w:firstLineChars="200"/>
        <w:outlineLvl w:val="1"/>
        <w:rPr>
          <w:rFonts w:eastAsia="黑体"/>
          <w:color w:val="auto"/>
          <w:sz w:val="21"/>
          <w:szCs w:val="21"/>
        </w:rPr>
      </w:pPr>
      <w:bookmarkStart w:id="10" w:name="_Toc164609974"/>
      <w:r>
        <w:rPr>
          <w:rFonts w:hint="eastAsia" w:eastAsia="黑体"/>
          <w:color w:val="auto"/>
          <w:sz w:val="21"/>
          <w:szCs w:val="21"/>
        </w:rPr>
        <w:t>八</w:t>
      </w:r>
      <w:r>
        <w:rPr>
          <w:rFonts w:eastAsia="黑体"/>
          <w:color w:val="auto"/>
          <w:sz w:val="21"/>
          <w:szCs w:val="21"/>
        </w:rPr>
        <w:t>、</w:t>
      </w:r>
      <w:r>
        <w:rPr>
          <w:rFonts w:hint="eastAsia" w:eastAsia="黑体"/>
          <w:bCs/>
          <w:color w:val="auto"/>
          <w:sz w:val="21"/>
          <w:szCs w:val="21"/>
        </w:rPr>
        <w:t>制造监制和出厂检验</w:t>
      </w:r>
      <w:bookmarkEnd w:id="10"/>
    </w:p>
    <w:p w14:paraId="59E33E87">
      <w:pPr>
        <w:tabs>
          <w:tab w:val="left" w:pos="360"/>
        </w:tabs>
        <w:ind w:firstLine="420" w:firstLineChars="200"/>
        <w:rPr>
          <w:color w:val="auto"/>
          <w:sz w:val="21"/>
          <w:szCs w:val="21"/>
        </w:rPr>
      </w:pPr>
      <w:r>
        <w:rPr>
          <w:rFonts w:hint="eastAsia"/>
          <w:color w:val="auto"/>
          <w:sz w:val="21"/>
          <w:szCs w:val="21"/>
        </w:rPr>
        <w:t>在产品制造期间，招标人有权在适当的时间到制造厂进行制造监制。在制造监制期间，投标人有责任提供有关产品包括各种数据，产品结构图和部件图的详细中文资料。但招标人监制并不解除投标人对所有产品在制造质量上应负的全部责任。</w:t>
      </w:r>
    </w:p>
    <w:p w14:paraId="7DE2A718">
      <w:pPr>
        <w:tabs>
          <w:tab w:val="left" w:pos="360"/>
        </w:tabs>
        <w:ind w:firstLine="420" w:firstLineChars="200"/>
        <w:rPr>
          <w:color w:val="auto"/>
          <w:sz w:val="21"/>
          <w:szCs w:val="21"/>
        </w:rPr>
      </w:pPr>
      <w:r>
        <w:rPr>
          <w:rFonts w:hint="eastAsia"/>
          <w:color w:val="auto"/>
          <w:sz w:val="21"/>
          <w:szCs w:val="21"/>
        </w:rPr>
        <w:t>产品出厂之前，投标人须邀请招标方技术人员到制造厂家进行检验。主要部件和电气部件及产品总体的检验都应在工厂内结束。投标人须提供由招标方工程师认可的一整套检验标准和计划。所有检验应严格按照认可的方式进行。在检验结束后，投标人须提供必要的技术数据和图纸，并提交一份测试报告给招标人。但招标人的工厂检验并不解除投标人对所有产品在制造质量上应负的全部责任。</w:t>
      </w:r>
    </w:p>
    <w:p w14:paraId="7B312CB1">
      <w:pPr>
        <w:spacing w:line="480" w:lineRule="auto"/>
        <w:ind w:firstLine="420" w:firstLineChars="200"/>
        <w:outlineLvl w:val="1"/>
        <w:rPr>
          <w:rFonts w:eastAsia="黑体"/>
          <w:color w:val="auto"/>
          <w:sz w:val="21"/>
          <w:szCs w:val="21"/>
        </w:rPr>
      </w:pPr>
      <w:bookmarkStart w:id="11" w:name="_Toc164609975"/>
      <w:r>
        <w:rPr>
          <w:rFonts w:hint="eastAsia" w:eastAsia="黑体"/>
          <w:color w:val="auto"/>
          <w:sz w:val="21"/>
          <w:szCs w:val="21"/>
        </w:rPr>
        <w:t>九</w:t>
      </w:r>
      <w:r>
        <w:rPr>
          <w:rFonts w:eastAsia="黑体"/>
          <w:color w:val="auto"/>
          <w:sz w:val="21"/>
          <w:szCs w:val="21"/>
        </w:rPr>
        <w:t>、</w:t>
      </w:r>
      <w:r>
        <w:rPr>
          <w:rFonts w:hint="eastAsia" w:eastAsia="黑体"/>
          <w:bCs/>
          <w:color w:val="auto"/>
          <w:sz w:val="21"/>
          <w:szCs w:val="21"/>
        </w:rPr>
        <w:t>产品防护、包装与运输</w:t>
      </w:r>
      <w:bookmarkEnd w:id="11"/>
    </w:p>
    <w:p w14:paraId="288C6E93">
      <w:pPr>
        <w:tabs>
          <w:tab w:val="left" w:pos="360"/>
        </w:tabs>
        <w:ind w:firstLine="420" w:firstLineChars="200"/>
        <w:rPr>
          <w:color w:val="auto"/>
          <w:sz w:val="21"/>
          <w:szCs w:val="21"/>
        </w:rPr>
      </w:pPr>
      <w:r>
        <w:rPr>
          <w:rFonts w:hint="eastAsia"/>
          <w:color w:val="auto"/>
          <w:sz w:val="21"/>
          <w:szCs w:val="21"/>
        </w:rPr>
        <w:t>1</w:t>
      </w:r>
      <w:r>
        <w:rPr>
          <w:color w:val="auto"/>
          <w:sz w:val="21"/>
          <w:szCs w:val="21"/>
        </w:rPr>
        <w:t>．</w:t>
      </w:r>
      <w:r>
        <w:rPr>
          <w:rFonts w:hint="eastAsia"/>
          <w:color w:val="auto"/>
          <w:sz w:val="21"/>
          <w:szCs w:val="21"/>
        </w:rPr>
        <w:t>产品内外表面应洁净。投标人在投标时须提供产品的具体防护措施供招标人认可，并对此工作负责。</w:t>
      </w:r>
    </w:p>
    <w:p w14:paraId="2E7AC303">
      <w:pPr>
        <w:tabs>
          <w:tab w:val="left" w:pos="360"/>
        </w:tabs>
        <w:ind w:firstLine="420" w:firstLineChars="200"/>
        <w:rPr>
          <w:color w:val="auto"/>
          <w:sz w:val="21"/>
          <w:szCs w:val="21"/>
        </w:rPr>
      </w:pPr>
      <w:r>
        <w:rPr>
          <w:rFonts w:hint="eastAsia"/>
          <w:color w:val="auto"/>
          <w:sz w:val="21"/>
          <w:szCs w:val="21"/>
        </w:rPr>
        <w:t>2</w:t>
      </w:r>
      <w:r>
        <w:rPr>
          <w:color w:val="auto"/>
          <w:sz w:val="21"/>
          <w:szCs w:val="21"/>
        </w:rPr>
        <w:t>．</w:t>
      </w:r>
      <w:r>
        <w:rPr>
          <w:rFonts w:hint="eastAsia"/>
          <w:color w:val="auto"/>
          <w:sz w:val="21"/>
          <w:szCs w:val="21"/>
        </w:rPr>
        <w:t>所有产品应合理、有效包装，以使其有效防止各种损坏，如受潮、受热、剥落、腐蚀、变形等。</w:t>
      </w:r>
    </w:p>
    <w:p w14:paraId="36981A1D">
      <w:pPr>
        <w:tabs>
          <w:tab w:val="left" w:pos="360"/>
        </w:tabs>
        <w:ind w:firstLine="420" w:firstLineChars="200"/>
        <w:rPr>
          <w:color w:val="auto"/>
          <w:sz w:val="21"/>
          <w:szCs w:val="21"/>
        </w:rPr>
      </w:pPr>
      <w:r>
        <w:rPr>
          <w:rFonts w:hint="eastAsia"/>
          <w:color w:val="auto"/>
          <w:sz w:val="21"/>
          <w:szCs w:val="21"/>
        </w:rPr>
        <w:t>3</w:t>
      </w:r>
      <w:r>
        <w:rPr>
          <w:color w:val="auto"/>
          <w:sz w:val="21"/>
          <w:szCs w:val="21"/>
        </w:rPr>
        <w:t>．</w:t>
      </w:r>
      <w:r>
        <w:rPr>
          <w:rFonts w:hint="eastAsia"/>
          <w:color w:val="auto"/>
          <w:sz w:val="21"/>
          <w:szCs w:val="21"/>
        </w:rPr>
        <w:t>随机的零部件、备品备件等散件应木箱包装。这些箱盒应适合于储存，储存年限应在包装上予以说明。</w:t>
      </w:r>
    </w:p>
    <w:p w14:paraId="042EA414">
      <w:pPr>
        <w:tabs>
          <w:tab w:val="left" w:pos="360"/>
        </w:tabs>
        <w:ind w:firstLine="420" w:firstLineChars="200"/>
        <w:rPr>
          <w:color w:val="auto"/>
          <w:sz w:val="21"/>
          <w:szCs w:val="21"/>
        </w:rPr>
      </w:pPr>
      <w:r>
        <w:rPr>
          <w:rFonts w:hint="eastAsia"/>
          <w:color w:val="auto"/>
          <w:sz w:val="21"/>
          <w:szCs w:val="21"/>
        </w:rPr>
        <w:t>4</w:t>
      </w:r>
      <w:r>
        <w:rPr>
          <w:color w:val="auto"/>
          <w:sz w:val="21"/>
          <w:szCs w:val="21"/>
        </w:rPr>
        <w:t>．</w:t>
      </w:r>
      <w:r>
        <w:rPr>
          <w:rFonts w:hint="eastAsia"/>
          <w:color w:val="auto"/>
          <w:sz w:val="21"/>
          <w:szCs w:val="21"/>
        </w:rPr>
        <w:t>产品的包装费应包含在投标总价中，这些包装材料应属于招标人所有。</w:t>
      </w:r>
    </w:p>
    <w:p w14:paraId="0C594911">
      <w:pPr>
        <w:tabs>
          <w:tab w:val="left" w:pos="360"/>
        </w:tabs>
        <w:ind w:firstLine="420" w:firstLineChars="200"/>
        <w:rPr>
          <w:color w:val="auto"/>
          <w:sz w:val="21"/>
          <w:szCs w:val="21"/>
        </w:rPr>
      </w:pPr>
      <w:r>
        <w:rPr>
          <w:rFonts w:hint="eastAsia"/>
          <w:color w:val="auto"/>
          <w:sz w:val="21"/>
          <w:szCs w:val="21"/>
        </w:rPr>
        <w:t>5</w:t>
      </w:r>
      <w:r>
        <w:rPr>
          <w:color w:val="auto"/>
          <w:sz w:val="21"/>
          <w:szCs w:val="21"/>
        </w:rPr>
        <w:t>．</w:t>
      </w:r>
      <w:r>
        <w:rPr>
          <w:rFonts w:hint="eastAsia"/>
          <w:color w:val="auto"/>
          <w:sz w:val="21"/>
          <w:szCs w:val="21"/>
        </w:rPr>
        <w:t>在包装箱中，应附有产品合格证书、产品说明书、装箱单、易损件备件及专用工具清单，一整套完整的经批准的图纸及有关技术文件等资料。包装箱外面应注明产品的名称、数量、编号、起吊位置、警示标志、外形尺寸、毛重等，所有文字应为中文。</w:t>
      </w:r>
    </w:p>
    <w:p w14:paraId="5854D4AF">
      <w:pPr>
        <w:tabs>
          <w:tab w:val="left" w:pos="360"/>
        </w:tabs>
        <w:ind w:firstLine="420" w:firstLineChars="200"/>
        <w:rPr>
          <w:color w:val="auto"/>
          <w:sz w:val="21"/>
          <w:szCs w:val="21"/>
        </w:rPr>
      </w:pPr>
      <w:r>
        <w:rPr>
          <w:rFonts w:hint="eastAsia"/>
          <w:color w:val="auto"/>
          <w:sz w:val="21"/>
          <w:szCs w:val="21"/>
        </w:rPr>
        <w:t>6</w:t>
      </w:r>
      <w:r>
        <w:rPr>
          <w:color w:val="auto"/>
          <w:sz w:val="21"/>
          <w:szCs w:val="21"/>
        </w:rPr>
        <w:t>．</w:t>
      </w:r>
      <w:r>
        <w:rPr>
          <w:rFonts w:hint="eastAsia"/>
          <w:color w:val="auto"/>
          <w:sz w:val="21"/>
          <w:szCs w:val="21"/>
        </w:rPr>
        <w:t>投标人应对产品的整个交货过程负责，包括运输、装卸的安全等。</w:t>
      </w:r>
    </w:p>
    <w:p w14:paraId="497030AA">
      <w:pPr>
        <w:tabs>
          <w:tab w:val="left" w:pos="360"/>
        </w:tabs>
        <w:ind w:firstLine="420" w:firstLineChars="200"/>
        <w:rPr>
          <w:color w:val="auto"/>
          <w:sz w:val="21"/>
          <w:szCs w:val="21"/>
        </w:rPr>
      </w:pPr>
      <w:r>
        <w:rPr>
          <w:rFonts w:hint="eastAsia"/>
          <w:color w:val="auto"/>
          <w:sz w:val="21"/>
          <w:szCs w:val="21"/>
        </w:rPr>
        <w:t>7</w:t>
      </w:r>
      <w:r>
        <w:rPr>
          <w:color w:val="auto"/>
          <w:sz w:val="21"/>
          <w:szCs w:val="21"/>
        </w:rPr>
        <w:t>．</w:t>
      </w:r>
      <w:r>
        <w:rPr>
          <w:rFonts w:hint="eastAsia"/>
          <w:color w:val="auto"/>
          <w:sz w:val="21"/>
          <w:szCs w:val="21"/>
        </w:rPr>
        <w:t>随包装箱携带的文件、资料应防潮密封，并放置在包装箱内明显处。</w:t>
      </w:r>
    </w:p>
    <w:p w14:paraId="7007C398">
      <w:pPr>
        <w:spacing w:line="480" w:lineRule="auto"/>
        <w:ind w:firstLine="420" w:firstLineChars="200"/>
        <w:outlineLvl w:val="1"/>
        <w:rPr>
          <w:rFonts w:eastAsia="黑体"/>
          <w:color w:val="auto"/>
          <w:sz w:val="21"/>
          <w:szCs w:val="21"/>
        </w:rPr>
      </w:pPr>
      <w:bookmarkStart w:id="12" w:name="_Toc164609976"/>
      <w:r>
        <w:rPr>
          <w:rFonts w:hint="eastAsia" w:eastAsia="黑体"/>
          <w:color w:val="auto"/>
          <w:sz w:val="21"/>
          <w:szCs w:val="21"/>
        </w:rPr>
        <w:t>十</w:t>
      </w:r>
      <w:r>
        <w:rPr>
          <w:rFonts w:eastAsia="黑体"/>
          <w:color w:val="auto"/>
          <w:sz w:val="21"/>
          <w:szCs w:val="21"/>
        </w:rPr>
        <w:t>、</w:t>
      </w:r>
      <w:r>
        <w:rPr>
          <w:rFonts w:hint="eastAsia" w:eastAsia="黑体"/>
          <w:bCs/>
          <w:color w:val="auto"/>
          <w:sz w:val="21"/>
          <w:szCs w:val="21"/>
        </w:rPr>
        <w:t>验收</w:t>
      </w:r>
      <w:bookmarkEnd w:id="12"/>
    </w:p>
    <w:p w14:paraId="74E79640">
      <w:pPr>
        <w:tabs>
          <w:tab w:val="left" w:pos="360"/>
          <w:tab w:val="left" w:pos="420"/>
        </w:tabs>
        <w:ind w:firstLine="420" w:firstLineChars="200"/>
        <w:rPr>
          <w:color w:val="auto"/>
          <w:sz w:val="21"/>
          <w:szCs w:val="21"/>
        </w:rPr>
      </w:pPr>
      <w:r>
        <w:rPr>
          <w:rFonts w:hint="eastAsia"/>
          <w:color w:val="auto"/>
          <w:sz w:val="21"/>
          <w:szCs w:val="21"/>
        </w:rPr>
        <w:t>1</w:t>
      </w:r>
      <w:r>
        <w:rPr>
          <w:color w:val="auto"/>
          <w:sz w:val="21"/>
          <w:szCs w:val="21"/>
        </w:rPr>
        <w:t>．</w:t>
      </w:r>
      <w:r>
        <w:rPr>
          <w:rFonts w:hint="eastAsia"/>
          <w:color w:val="auto"/>
          <w:sz w:val="21"/>
          <w:szCs w:val="21"/>
        </w:rPr>
        <w:t>本系统设备制造完成后，应先在工厂进行模拟测试，所模拟条件要符合现场条件及规格书的要求。所测试设备应为招标人所购买的产品。</w:t>
      </w:r>
    </w:p>
    <w:p w14:paraId="737C1526">
      <w:pPr>
        <w:tabs>
          <w:tab w:val="left" w:pos="360"/>
          <w:tab w:val="left" w:pos="420"/>
        </w:tabs>
        <w:ind w:firstLine="420" w:firstLineChars="200"/>
        <w:rPr>
          <w:color w:val="auto"/>
          <w:sz w:val="21"/>
          <w:szCs w:val="21"/>
        </w:rPr>
      </w:pPr>
      <w:r>
        <w:rPr>
          <w:rFonts w:hint="eastAsia"/>
          <w:color w:val="auto"/>
          <w:sz w:val="21"/>
          <w:szCs w:val="21"/>
        </w:rPr>
        <w:t>2</w:t>
      </w:r>
      <w:r>
        <w:rPr>
          <w:color w:val="auto"/>
          <w:sz w:val="21"/>
          <w:szCs w:val="21"/>
        </w:rPr>
        <w:t>．</w:t>
      </w:r>
      <w:r>
        <w:rPr>
          <w:rFonts w:hint="eastAsia"/>
          <w:color w:val="auto"/>
          <w:sz w:val="21"/>
          <w:szCs w:val="21"/>
        </w:rPr>
        <w:t>在现场安装工作开始之前三个月，投标人须向招标人提供全套技术图纸,说明书（包括设备及附件的技术性能、技术指标及完整的软件说明书）和试验记录。</w:t>
      </w:r>
    </w:p>
    <w:p w14:paraId="7A445567">
      <w:pPr>
        <w:tabs>
          <w:tab w:val="left" w:pos="360"/>
          <w:tab w:val="left" w:pos="420"/>
        </w:tabs>
        <w:ind w:firstLine="420" w:firstLineChars="200"/>
        <w:rPr>
          <w:color w:val="auto"/>
          <w:sz w:val="21"/>
          <w:szCs w:val="21"/>
        </w:rPr>
      </w:pPr>
      <w:r>
        <w:rPr>
          <w:rFonts w:hint="eastAsia"/>
          <w:color w:val="auto"/>
          <w:sz w:val="21"/>
          <w:szCs w:val="21"/>
        </w:rPr>
        <w:t>3</w:t>
      </w:r>
      <w:r>
        <w:rPr>
          <w:color w:val="auto"/>
          <w:sz w:val="21"/>
          <w:szCs w:val="21"/>
        </w:rPr>
        <w:t>．</w:t>
      </w:r>
      <w:r>
        <w:rPr>
          <w:rFonts w:hint="eastAsia"/>
          <w:color w:val="auto"/>
          <w:sz w:val="21"/>
          <w:szCs w:val="21"/>
        </w:rPr>
        <w:t>投标人负责设备在现场的调试和开通，招标人将派技术人员参加，并作必要的配合。在调试前一个月，投标人应向招标人提供调试计划，调试方法和调试要求，经招标人同意方可开始调试。投标人有义务定期向招标人报告调试进展情况，遇到的问题和解决的措施。</w:t>
      </w:r>
    </w:p>
    <w:p w14:paraId="2A8D4156">
      <w:pPr>
        <w:tabs>
          <w:tab w:val="left" w:pos="360"/>
          <w:tab w:val="left" w:pos="420"/>
        </w:tabs>
        <w:ind w:firstLine="420" w:firstLineChars="200"/>
        <w:rPr>
          <w:color w:val="auto"/>
          <w:sz w:val="21"/>
          <w:szCs w:val="21"/>
        </w:rPr>
      </w:pPr>
      <w:r>
        <w:rPr>
          <w:rFonts w:hint="eastAsia"/>
          <w:color w:val="auto"/>
          <w:sz w:val="21"/>
          <w:szCs w:val="21"/>
        </w:rPr>
        <w:t>4</w:t>
      </w:r>
      <w:r>
        <w:rPr>
          <w:color w:val="auto"/>
          <w:sz w:val="21"/>
          <w:szCs w:val="21"/>
        </w:rPr>
        <w:t>．</w:t>
      </w:r>
      <w:r>
        <w:rPr>
          <w:rFonts w:hint="eastAsia"/>
          <w:color w:val="auto"/>
          <w:sz w:val="21"/>
          <w:szCs w:val="21"/>
        </w:rPr>
        <w:t>如调试情况良好，设备可投入试运转，招标人再作一个月的交接测试，经确认设备合格后办理交接手续，测试所需仪表，除工程所配仪表可利用外，其它仪表均由投标人无偿提供。交接工作由招标人组织进行，但投标人须配合。</w:t>
      </w:r>
    </w:p>
    <w:p w14:paraId="08104FE5">
      <w:pPr>
        <w:tabs>
          <w:tab w:val="left" w:pos="360"/>
          <w:tab w:val="left" w:pos="420"/>
        </w:tabs>
        <w:ind w:firstLine="420" w:firstLineChars="200"/>
        <w:rPr>
          <w:color w:val="auto"/>
          <w:sz w:val="21"/>
          <w:szCs w:val="21"/>
        </w:rPr>
      </w:pPr>
      <w:r>
        <w:rPr>
          <w:rFonts w:hint="eastAsia"/>
          <w:color w:val="auto"/>
          <w:sz w:val="21"/>
          <w:szCs w:val="21"/>
        </w:rPr>
        <w:t>5</w:t>
      </w:r>
      <w:r>
        <w:rPr>
          <w:color w:val="auto"/>
          <w:sz w:val="21"/>
          <w:szCs w:val="21"/>
        </w:rPr>
        <w:t>．</w:t>
      </w:r>
      <w:r>
        <w:rPr>
          <w:rFonts w:hint="eastAsia"/>
          <w:color w:val="auto"/>
          <w:sz w:val="21"/>
          <w:szCs w:val="21"/>
        </w:rPr>
        <w:t>交接测试时，本技术规格书中规定的所有功能将在现场逐项检查测试，而且每一项将进行正常和非正常操作的检查、以确认设备的正常操作响应和非正常操作时故障导向动态安全及故障报警的情况。在交接测试期间，投标人不得作系统上的修改。若确需做一些局部修改时，只能在全部测试完成后给予适当延长时间，并须经过重新测试。由此而引起的所有费用均由投标人负责。</w:t>
      </w:r>
    </w:p>
    <w:p w14:paraId="74D5BAE3">
      <w:pPr>
        <w:tabs>
          <w:tab w:val="left" w:pos="360"/>
          <w:tab w:val="left" w:pos="420"/>
        </w:tabs>
        <w:ind w:firstLine="420" w:firstLineChars="200"/>
        <w:rPr>
          <w:color w:val="auto"/>
          <w:sz w:val="21"/>
          <w:szCs w:val="21"/>
        </w:rPr>
      </w:pPr>
      <w:r>
        <w:rPr>
          <w:rFonts w:hint="eastAsia"/>
          <w:color w:val="auto"/>
          <w:sz w:val="21"/>
          <w:szCs w:val="21"/>
        </w:rPr>
        <w:t>6</w:t>
      </w:r>
      <w:r>
        <w:rPr>
          <w:color w:val="auto"/>
          <w:sz w:val="21"/>
          <w:szCs w:val="21"/>
        </w:rPr>
        <w:t>．</w:t>
      </w:r>
      <w:r>
        <w:rPr>
          <w:rFonts w:hint="eastAsia"/>
          <w:color w:val="auto"/>
          <w:sz w:val="21"/>
          <w:szCs w:val="21"/>
        </w:rPr>
        <w:t>交接测试工作包括硬件、软件的质量和可维修性。全部设备、器件的所有性能必须符合规定的要求，数量齐全，工艺、文件资料的质量高。</w:t>
      </w:r>
    </w:p>
    <w:p w14:paraId="466F873B">
      <w:pPr>
        <w:tabs>
          <w:tab w:val="left" w:pos="360"/>
          <w:tab w:val="left" w:pos="420"/>
        </w:tabs>
        <w:ind w:firstLine="420" w:firstLineChars="200"/>
        <w:rPr>
          <w:color w:val="auto"/>
          <w:sz w:val="21"/>
          <w:szCs w:val="21"/>
        </w:rPr>
      </w:pPr>
      <w:r>
        <w:rPr>
          <w:rFonts w:hint="eastAsia"/>
          <w:color w:val="auto"/>
          <w:sz w:val="21"/>
          <w:szCs w:val="21"/>
        </w:rPr>
        <w:t>7</w:t>
      </w:r>
      <w:r>
        <w:rPr>
          <w:color w:val="auto"/>
          <w:sz w:val="21"/>
          <w:szCs w:val="21"/>
        </w:rPr>
        <w:t>．</w:t>
      </w:r>
      <w:r>
        <w:rPr>
          <w:rFonts w:hint="eastAsia"/>
          <w:color w:val="auto"/>
          <w:sz w:val="21"/>
          <w:szCs w:val="21"/>
        </w:rPr>
        <w:t>测试指标应由投标人在技术建议书中具体列出，并加以详细说明，经买、卖双方协商确认后纳入合同,作为验收依据。</w:t>
      </w:r>
    </w:p>
    <w:p w14:paraId="3FA3CA82">
      <w:pPr>
        <w:tabs>
          <w:tab w:val="left" w:pos="360"/>
          <w:tab w:val="left" w:pos="420"/>
        </w:tabs>
        <w:ind w:firstLine="420" w:firstLineChars="200"/>
        <w:rPr>
          <w:color w:val="auto"/>
          <w:sz w:val="21"/>
          <w:szCs w:val="21"/>
        </w:rPr>
      </w:pPr>
      <w:r>
        <w:rPr>
          <w:rFonts w:hint="eastAsia"/>
          <w:color w:val="auto"/>
          <w:sz w:val="21"/>
          <w:szCs w:val="21"/>
        </w:rPr>
        <w:t>8</w:t>
      </w:r>
      <w:r>
        <w:rPr>
          <w:color w:val="auto"/>
          <w:sz w:val="21"/>
          <w:szCs w:val="21"/>
        </w:rPr>
        <w:t>．</w:t>
      </w:r>
      <w:r>
        <w:rPr>
          <w:rFonts w:hint="eastAsia"/>
          <w:color w:val="auto"/>
          <w:sz w:val="21"/>
          <w:szCs w:val="21"/>
        </w:rPr>
        <w:t>设备交接后，招标人接管且开始使用设备，待本工程初步验收合格并经安全评估后，进行试运营时，方可作正式交验，并办理正式移交，双方签署最终验收证书。</w:t>
      </w:r>
    </w:p>
    <w:p w14:paraId="099CC289">
      <w:pPr>
        <w:spacing w:line="480" w:lineRule="auto"/>
        <w:ind w:firstLine="420" w:firstLineChars="200"/>
        <w:outlineLvl w:val="1"/>
        <w:rPr>
          <w:rFonts w:eastAsia="黑体"/>
          <w:color w:val="auto"/>
          <w:sz w:val="21"/>
          <w:szCs w:val="21"/>
        </w:rPr>
      </w:pPr>
      <w:bookmarkStart w:id="13" w:name="_Toc164609977"/>
      <w:r>
        <w:rPr>
          <w:rFonts w:hint="eastAsia" w:eastAsia="黑体"/>
          <w:color w:val="auto"/>
          <w:sz w:val="21"/>
          <w:szCs w:val="21"/>
        </w:rPr>
        <w:t>十一</w:t>
      </w:r>
      <w:r>
        <w:rPr>
          <w:rFonts w:eastAsia="黑体"/>
          <w:color w:val="auto"/>
          <w:sz w:val="21"/>
          <w:szCs w:val="21"/>
        </w:rPr>
        <w:t>、</w:t>
      </w:r>
      <w:r>
        <w:rPr>
          <w:rFonts w:hint="eastAsia" w:eastAsia="黑体"/>
          <w:bCs/>
          <w:color w:val="auto"/>
          <w:sz w:val="21"/>
          <w:szCs w:val="21"/>
        </w:rPr>
        <w:t>技术服务</w:t>
      </w:r>
      <w:bookmarkEnd w:id="13"/>
    </w:p>
    <w:p w14:paraId="5DDFA50F">
      <w:pPr>
        <w:ind w:firstLine="422" w:firstLineChars="200"/>
        <w:outlineLvl w:val="2"/>
        <w:rPr>
          <w:b/>
          <w:color w:val="auto"/>
          <w:sz w:val="21"/>
          <w:szCs w:val="21"/>
        </w:rPr>
      </w:pPr>
      <w:bookmarkStart w:id="14" w:name="_Toc164609978"/>
      <w:r>
        <w:rPr>
          <w:rFonts w:hint="eastAsia"/>
          <w:b/>
          <w:color w:val="auto"/>
          <w:sz w:val="21"/>
          <w:szCs w:val="21"/>
        </w:rPr>
        <w:t>（一）</w:t>
      </w:r>
      <w:r>
        <w:rPr>
          <w:b/>
          <w:color w:val="auto"/>
          <w:sz w:val="21"/>
          <w:szCs w:val="21"/>
        </w:rPr>
        <w:t>技术资料</w:t>
      </w:r>
      <w:bookmarkEnd w:id="14"/>
    </w:p>
    <w:p w14:paraId="67CC1F7E">
      <w:pPr>
        <w:tabs>
          <w:tab w:val="left" w:pos="360"/>
          <w:tab w:val="left" w:pos="420"/>
        </w:tabs>
        <w:ind w:firstLine="420" w:firstLineChars="200"/>
        <w:rPr>
          <w:color w:val="auto"/>
          <w:sz w:val="21"/>
          <w:szCs w:val="21"/>
        </w:rPr>
      </w:pPr>
      <w:r>
        <w:rPr>
          <w:color w:val="auto"/>
          <w:sz w:val="21"/>
          <w:szCs w:val="21"/>
        </w:rPr>
        <w:t>1．图纸</w:t>
      </w:r>
    </w:p>
    <w:p w14:paraId="1CE105F5">
      <w:pPr>
        <w:tabs>
          <w:tab w:val="left" w:pos="360"/>
          <w:tab w:val="left" w:pos="420"/>
        </w:tabs>
        <w:ind w:firstLine="420" w:firstLineChars="200"/>
        <w:rPr>
          <w:color w:val="auto"/>
          <w:sz w:val="21"/>
          <w:szCs w:val="21"/>
        </w:rPr>
      </w:pPr>
      <w:r>
        <w:rPr>
          <w:rFonts w:hint="eastAsia"/>
          <w:color w:val="auto"/>
          <w:sz w:val="21"/>
          <w:szCs w:val="21"/>
        </w:rPr>
        <w:t>① 系统工作原理图</w:t>
      </w:r>
      <w:r>
        <w:rPr>
          <w:color w:val="auto"/>
          <w:sz w:val="21"/>
          <w:szCs w:val="21"/>
        </w:rPr>
        <w:t>。</w:t>
      </w:r>
    </w:p>
    <w:p w14:paraId="7FAE5208">
      <w:pPr>
        <w:tabs>
          <w:tab w:val="left" w:pos="360"/>
          <w:tab w:val="left" w:pos="420"/>
        </w:tabs>
        <w:ind w:firstLine="420" w:firstLineChars="200"/>
        <w:rPr>
          <w:color w:val="auto"/>
          <w:sz w:val="21"/>
          <w:szCs w:val="21"/>
        </w:rPr>
      </w:pPr>
      <w:r>
        <w:rPr>
          <w:rFonts w:hint="eastAsia"/>
          <w:color w:val="auto"/>
          <w:sz w:val="21"/>
          <w:szCs w:val="21"/>
        </w:rPr>
        <w:t>② 各设备的安装图、外形及尺寸图</w:t>
      </w:r>
      <w:r>
        <w:rPr>
          <w:color w:val="auto"/>
          <w:sz w:val="21"/>
          <w:szCs w:val="21"/>
        </w:rPr>
        <w:t>。</w:t>
      </w:r>
    </w:p>
    <w:p w14:paraId="5D8DE86D">
      <w:pPr>
        <w:tabs>
          <w:tab w:val="left" w:pos="360"/>
          <w:tab w:val="left" w:pos="420"/>
        </w:tabs>
        <w:ind w:firstLine="420" w:firstLineChars="200"/>
        <w:rPr>
          <w:color w:val="auto"/>
          <w:sz w:val="21"/>
          <w:szCs w:val="21"/>
        </w:rPr>
      </w:pPr>
      <w:r>
        <w:rPr>
          <w:rFonts w:hint="eastAsia"/>
          <w:color w:val="auto"/>
          <w:sz w:val="21"/>
          <w:szCs w:val="21"/>
        </w:rPr>
        <w:t>③ 系统构成及各设备相关图</w:t>
      </w:r>
      <w:r>
        <w:rPr>
          <w:color w:val="auto"/>
          <w:sz w:val="21"/>
          <w:szCs w:val="21"/>
        </w:rPr>
        <w:t>。</w:t>
      </w:r>
    </w:p>
    <w:p w14:paraId="281A909D">
      <w:pPr>
        <w:tabs>
          <w:tab w:val="left" w:pos="360"/>
          <w:tab w:val="left" w:pos="420"/>
        </w:tabs>
        <w:ind w:firstLine="420" w:firstLineChars="200"/>
        <w:rPr>
          <w:color w:val="auto"/>
          <w:sz w:val="21"/>
          <w:szCs w:val="21"/>
        </w:rPr>
      </w:pPr>
      <w:r>
        <w:rPr>
          <w:rFonts w:hint="eastAsia"/>
          <w:color w:val="auto"/>
          <w:sz w:val="21"/>
          <w:szCs w:val="21"/>
        </w:rPr>
        <w:t>④ 各设备的结构图</w:t>
      </w:r>
      <w:r>
        <w:rPr>
          <w:color w:val="auto"/>
          <w:sz w:val="21"/>
          <w:szCs w:val="21"/>
        </w:rPr>
        <w:t>。</w:t>
      </w:r>
    </w:p>
    <w:p w14:paraId="1E2AA9E9">
      <w:pPr>
        <w:tabs>
          <w:tab w:val="left" w:pos="360"/>
          <w:tab w:val="left" w:pos="420"/>
        </w:tabs>
        <w:ind w:firstLine="420" w:firstLineChars="200"/>
        <w:rPr>
          <w:color w:val="auto"/>
          <w:sz w:val="21"/>
          <w:szCs w:val="21"/>
        </w:rPr>
      </w:pPr>
      <w:r>
        <w:rPr>
          <w:rFonts w:hint="eastAsia"/>
          <w:color w:val="auto"/>
          <w:sz w:val="21"/>
          <w:szCs w:val="21"/>
        </w:rPr>
        <w:t>⑤ 各设备内部布线、布缆图表。</w:t>
      </w:r>
    </w:p>
    <w:p w14:paraId="65C4FF12">
      <w:pPr>
        <w:tabs>
          <w:tab w:val="left" w:pos="360"/>
          <w:tab w:val="left" w:pos="420"/>
        </w:tabs>
        <w:ind w:firstLine="420" w:firstLineChars="200"/>
        <w:rPr>
          <w:color w:val="auto"/>
          <w:sz w:val="21"/>
          <w:szCs w:val="21"/>
        </w:rPr>
      </w:pPr>
      <w:r>
        <w:rPr>
          <w:rFonts w:hint="eastAsia"/>
          <w:color w:val="auto"/>
          <w:sz w:val="21"/>
          <w:szCs w:val="21"/>
        </w:rPr>
        <w:t>⑥ 系统各设备间布线、布缆、各插接件的连接图及配线表。</w:t>
      </w:r>
    </w:p>
    <w:p w14:paraId="517A54EB">
      <w:pPr>
        <w:tabs>
          <w:tab w:val="left" w:pos="360"/>
          <w:tab w:val="left" w:pos="420"/>
        </w:tabs>
        <w:ind w:firstLine="420" w:firstLineChars="200"/>
        <w:rPr>
          <w:color w:val="auto"/>
          <w:sz w:val="21"/>
          <w:szCs w:val="21"/>
        </w:rPr>
      </w:pPr>
      <w:r>
        <w:rPr>
          <w:rFonts w:hint="eastAsia"/>
          <w:color w:val="auto"/>
          <w:sz w:val="21"/>
          <w:szCs w:val="21"/>
        </w:rPr>
        <w:t>⑦ 系统各种控制电路图及所有驱动继电器的定义。</w:t>
      </w:r>
    </w:p>
    <w:p w14:paraId="5D188D1E">
      <w:pPr>
        <w:tabs>
          <w:tab w:val="left" w:pos="360"/>
          <w:tab w:val="left" w:pos="420"/>
        </w:tabs>
        <w:ind w:firstLine="420" w:firstLineChars="200"/>
        <w:rPr>
          <w:color w:val="auto"/>
          <w:sz w:val="21"/>
          <w:szCs w:val="21"/>
        </w:rPr>
      </w:pPr>
      <w:r>
        <w:rPr>
          <w:rFonts w:hint="eastAsia"/>
          <w:color w:val="auto"/>
          <w:sz w:val="21"/>
          <w:szCs w:val="21"/>
        </w:rPr>
        <w:t>2</w:t>
      </w:r>
      <w:r>
        <w:rPr>
          <w:color w:val="auto"/>
          <w:sz w:val="21"/>
          <w:szCs w:val="21"/>
        </w:rPr>
        <w:t>．</w:t>
      </w:r>
      <w:r>
        <w:rPr>
          <w:rFonts w:hint="eastAsia"/>
          <w:color w:val="auto"/>
          <w:sz w:val="21"/>
          <w:szCs w:val="21"/>
        </w:rPr>
        <w:t>硬件资料</w:t>
      </w:r>
    </w:p>
    <w:p w14:paraId="11EA9842">
      <w:pPr>
        <w:tabs>
          <w:tab w:val="left" w:pos="360"/>
          <w:tab w:val="left" w:pos="420"/>
        </w:tabs>
        <w:ind w:firstLine="420" w:firstLineChars="200"/>
        <w:rPr>
          <w:color w:val="auto"/>
          <w:sz w:val="21"/>
          <w:szCs w:val="21"/>
        </w:rPr>
      </w:pPr>
      <w:r>
        <w:rPr>
          <w:rFonts w:hint="eastAsia"/>
          <w:color w:val="auto"/>
          <w:sz w:val="21"/>
          <w:szCs w:val="21"/>
        </w:rPr>
        <w:t>① 主机、外设、维护设备的配置、类型、数量。</w:t>
      </w:r>
    </w:p>
    <w:p w14:paraId="6FDFE614">
      <w:pPr>
        <w:tabs>
          <w:tab w:val="left" w:pos="360"/>
          <w:tab w:val="left" w:pos="420"/>
        </w:tabs>
        <w:ind w:firstLine="420" w:firstLineChars="200"/>
        <w:rPr>
          <w:color w:val="auto"/>
          <w:sz w:val="21"/>
          <w:szCs w:val="21"/>
        </w:rPr>
      </w:pPr>
      <w:r>
        <w:rPr>
          <w:rFonts w:hint="eastAsia"/>
          <w:color w:val="auto"/>
          <w:sz w:val="21"/>
          <w:szCs w:val="21"/>
        </w:rPr>
        <w:t>② 各类设备（包括印刷电路板）的技术规格说明书（除电气和机械特性外，还应包括重量，散热度、适用环境及接地要求各界限值）。</w:t>
      </w:r>
    </w:p>
    <w:p w14:paraId="7B8A7FC1">
      <w:pPr>
        <w:tabs>
          <w:tab w:val="left" w:pos="360"/>
          <w:tab w:val="left" w:pos="420"/>
        </w:tabs>
        <w:ind w:firstLine="420" w:firstLineChars="200"/>
        <w:rPr>
          <w:color w:val="auto"/>
          <w:sz w:val="21"/>
          <w:szCs w:val="21"/>
        </w:rPr>
      </w:pPr>
      <w:r>
        <w:rPr>
          <w:rFonts w:hint="eastAsia"/>
          <w:color w:val="auto"/>
          <w:sz w:val="21"/>
          <w:szCs w:val="21"/>
        </w:rPr>
        <w:t>③ 各类设备（包括印刷电路板）的工作原理说明书（包括电路图、功能图解、流程图、动作原理）。</w:t>
      </w:r>
    </w:p>
    <w:p w14:paraId="0B53FDF0">
      <w:pPr>
        <w:tabs>
          <w:tab w:val="left" w:pos="360"/>
          <w:tab w:val="left" w:pos="420"/>
        </w:tabs>
        <w:ind w:firstLine="420" w:firstLineChars="200"/>
        <w:rPr>
          <w:color w:val="auto"/>
          <w:sz w:val="21"/>
          <w:szCs w:val="21"/>
        </w:rPr>
      </w:pPr>
      <w:r>
        <w:rPr>
          <w:rFonts w:hint="eastAsia"/>
          <w:color w:val="auto"/>
          <w:sz w:val="21"/>
          <w:szCs w:val="21"/>
        </w:rPr>
        <w:t>④ 操作使用说明书。</w:t>
      </w:r>
    </w:p>
    <w:p w14:paraId="3041862D">
      <w:pPr>
        <w:tabs>
          <w:tab w:val="left" w:pos="360"/>
          <w:tab w:val="left" w:pos="420"/>
        </w:tabs>
        <w:ind w:firstLine="420" w:firstLineChars="200"/>
        <w:rPr>
          <w:color w:val="auto"/>
          <w:sz w:val="21"/>
          <w:szCs w:val="21"/>
        </w:rPr>
      </w:pPr>
      <w:r>
        <w:rPr>
          <w:rFonts w:hint="eastAsia"/>
          <w:color w:val="auto"/>
          <w:sz w:val="21"/>
          <w:szCs w:val="21"/>
        </w:rPr>
        <w:t>⑤ 维护管理说明书。</w:t>
      </w:r>
    </w:p>
    <w:p w14:paraId="5CC549B5">
      <w:pPr>
        <w:tabs>
          <w:tab w:val="left" w:pos="360"/>
          <w:tab w:val="left" w:pos="420"/>
        </w:tabs>
        <w:ind w:firstLine="420" w:firstLineChars="200"/>
        <w:rPr>
          <w:color w:val="auto"/>
          <w:sz w:val="21"/>
          <w:szCs w:val="21"/>
        </w:rPr>
      </w:pPr>
      <w:r>
        <w:rPr>
          <w:rFonts w:hint="eastAsia"/>
          <w:color w:val="auto"/>
          <w:sz w:val="21"/>
          <w:szCs w:val="21"/>
        </w:rPr>
        <w:t>⑥ 设备安装说明书。</w:t>
      </w:r>
    </w:p>
    <w:p w14:paraId="17A98B09">
      <w:pPr>
        <w:tabs>
          <w:tab w:val="left" w:pos="360"/>
          <w:tab w:val="left" w:pos="420"/>
        </w:tabs>
        <w:ind w:firstLine="420" w:firstLineChars="200"/>
        <w:rPr>
          <w:color w:val="auto"/>
          <w:sz w:val="21"/>
          <w:szCs w:val="21"/>
        </w:rPr>
      </w:pPr>
      <w:r>
        <w:rPr>
          <w:rFonts w:hint="eastAsia"/>
          <w:color w:val="auto"/>
          <w:sz w:val="21"/>
          <w:szCs w:val="21"/>
        </w:rPr>
        <w:t>⑦ 有关印刷电路板说明书。</w:t>
      </w:r>
    </w:p>
    <w:p w14:paraId="5E47896C">
      <w:pPr>
        <w:tabs>
          <w:tab w:val="left" w:pos="360"/>
          <w:tab w:val="left" w:pos="420"/>
        </w:tabs>
        <w:ind w:firstLine="420" w:firstLineChars="200"/>
        <w:rPr>
          <w:color w:val="auto"/>
          <w:sz w:val="21"/>
          <w:szCs w:val="21"/>
        </w:rPr>
      </w:pPr>
      <w:r>
        <w:rPr>
          <w:rFonts w:hint="eastAsia"/>
          <w:color w:val="auto"/>
          <w:sz w:val="21"/>
          <w:szCs w:val="21"/>
        </w:rPr>
        <w:t>⑧ 各种维修设备使用说明书。</w:t>
      </w:r>
    </w:p>
    <w:p w14:paraId="796FD411">
      <w:pPr>
        <w:tabs>
          <w:tab w:val="left" w:pos="360"/>
          <w:tab w:val="left" w:pos="420"/>
        </w:tabs>
        <w:ind w:firstLine="420" w:firstLineChars="200"/>
        <w:rPr>
          <w:color w:val="auto"/>
          <w:sz w:val="21"/>
          <w:szCs w:val="21"/>
        </w:rPr>
      </w:pPr>
      <w:r>
        <w:rPr>
          <w:rFonts w:hint="eastAsia"/>
          <w:color w:val="auto"/>
          <w:sz w:val="21"/>
          <w:szCs w:val="21"/>
        </w:rPr>
        <w:t>⑨ 主要元器件系列的产品手册。</w:t>
      </w:r>
    </w:p>
    <w:p w14:paraId="5227763A">
      <w:pPr>
        <w:tabs>
          <w:tab w:val="left" w:pos="360"/>
          <w:tab w:val="left" w:pos="420"/>
        </w:tabs>
        <w:ind w:firstLine="420" w:firstLineChars="200"/>
        <w:rPr>
          <w:color w:val="auto"/>
          <w:sz w:val="21"/>
          <w:szCs w:val="21"/>
        </w:rPr>
      </w:pPr>
      <w:r>
        <w:rPr>
          <w:rFonts w:hint="eastAsia"/>
          <w:color w:val="auto"/>
          <w:sz w:val="21"/>
          <w:szCs w:val="21"/>
        </w:rPr>
        <w:t>3</w:t>
      </w:r>
      <w:r>
        <w:rPr>
          <w:color w:val="auto"/>
          <w:sz w:val="21"/>
          <w:szCs w:val="21"/>
        </w:rPr>
        <w:t>．</w:t>
      </w:r>
      <w:r>
        <w:rPr>
          <w:rFonts w:hint="eastAsia"/>
          <w:color w:val="auto"/>
          <w:sz w:val="21"/>
          <w:szCs w:val="21"/>
        </w:rPr>
        <w:t>软件资料</w:t>
      </w:r>
    </w:p>
    <w:p w14:paraId="4EEF7832">
      <w:pPr>
        <w:tabs>
          <w:tab w:val="left" w:pos="360"/>
          <w:tab w:val="left" w:pos="420"/>
        </w:tabs>
        <w:ind w:firstLine="420" w:firstLineChars="200"/>
        <w:rPr>
          <w:color w:val="auto"/>
          <w:sz w:val="21"/>
          <w:szCs w:val="21"/>
        </w:rPr>
      </w:pPr>
      <w:r>
        <w:rPr>
          <w:rFonts w:hint="eastAsia"/>
          <w:color w:val="auto"/>
          <w:sz w:val="21"/>
          <w:szCs w:val="21"/>
        </w:rPr>
        <w:t>① 系统软件的结构，设计目标及容量等的详细说明。</w:t>
      </w:r>
    </w:p>
    <w:p w14:paraId="53E2E9EF">
      <w:pPr>
        <w:tabs>
          <w:tab w:val="left" w:pos="360"/>
          <w:tab w:val="left" w:pos="420"/>
        </w:tabs>
        <w:ind w:firstLine="420" w:firstLineChars="200"/>
        <w:rPr>
          <w:color w:val="auto"/>
          <w:sz w:val="21"/>
          <w:szCs w:val="21"/>
        </w:rPr>
      </w:pPr>
      <w:r>
        <w:rPr>
          <w:rFonts w:hint="eastAsia"/>
          <w:color w:val="auto"/>
          <w:sz w:val="21"/>
          <w:szCs w:val="21"/>
        </w:rPr>
        <w:t>② 维护管理软件的详细说明。</w:t>
      </w:r>
    </w:p>
    <w:p w14:paraId="43355283">
      <w:pPr>
        <w:tabs>
          <w:tab w:val="left" w:pos="360"/>
          <w:tab w:val="left" w:pos="420"/>
        </w:tabs>
        <w:ind w:firstLine="420" w:firstLineChars="200"/>
        <w:rPr>
          <w:color w:val="auto"/>
          <w:sz w:val="21"/>
          <w:szCs w:val="21"/>
        </w:rPr>
      </w:pPr>
      <w:r>
        <w:rPr>
          <w:rFonts w:hint="eastAsia"/>
          <w:color w:val="auto"/>
          <w:sz w:val="21"/>
          <w:szCs w:val="21"/>
        </w:rPr>
        <w:t>③ 外围设备的功能及操作程序的说明书。</w:t>
      </w:r>
    </w:p>
    <w:p w14:paraId="6FAB3983">
      <w:pPr>
        <w:tabs>
          <w:tab w:val="left" w:pos="360"/>
          <w:tab w:val="left" w:pos="420"/>
        </w:tabs>
        <w:ind w:firstLine="420" w:firstLineChars="200"/>
        <w:rPr>
          <w:color w:val="auto"/>
          <w:sz w:val="21"/>
          <w:szCs w:val="21"/>
        </w:rPr>
      </w:pPr>
      <w:r>
        <w:rPr>
          <w:rFonts w:hint="eastAsia"/>
          <w:color w:val="auto"/>
          <w:sz w:val="21"/>
          <w:szCs w:val="21"/>
        </w:rPr>
        <w:t>4</w:t>
      </w:r>
      <w:r>
        <w:rPr>
          <w:color w:val="auto"/>
          <w:sz w:val="21"/>
          <w:szCs w:val="21"/>
        </w:rPr>
        <w:t>．</w:t>
      </w:r>
      <w:r>
        <w:rPr>
          <w:rFonts w:hint="eastAsia"/>
          <w:color w:val="auto"/>
          <w:sz w:val="21"/>
          <w:szCs w:val="21"/>
        </w:rPr>
        <w:t>测试资料</w:t>
      </w:r>
    </w:p>
    <w:p w14:paraId="16CA5333">
      <w:pPr>
        <w:tabs>
          <w:tab w:val="left" w:pos="360"/>
          <w:tab w:val="left" w:pos="420"/>
        </w:tabs>
        <w:ind w:firstLine="420" w:firstLineChars="200"/>
        <w:rPr>
          <w:color w:val="auto"/>
          <w:sz w:val="21"/>
          <w:szCs w:val="21"/>
        </w:rPr>
      </w:pPr>
      <w:r>
        <w:rPr>
          <w:rFonts w:hint="eastAsia"/>
          <w:color w:val="auto"/>
          <w:sz w:val="21"/>
          <w:szCs w:val="21"/>
        </w:rPr>
        <w:t>① 系统设备、各功能模块、电路板等的测试数据和测试结果报告。</w:t>
      </w:r>
    </w:p>
    <w:p w14:paraId="6AE681B3">
      <w:pPr>
        <w:tabs>
          <w:tab w:val="left" w:pos="360"/>
          <w:tab w:val="left" w:pos="420"/>
        </w:tabs>
        <w:ind w:firstLine="420" w:firstLineChars="200"/>
        <w:rPr>
          <w:color w:val="auto"/>
          <w:sz w:val="21"/>
          <w:szCs w:val="21"/>
        </w:rPr>
      </w:pPr>
      <w:r>
        <w:rPr>
          <w:rFonts w:hint="eastAsia"/>
          <w:color w:val="auto"/>
          <w:sz w:val="21"/>
          <w:szCs w:val="21"/>
        </w:rPr>
        <w:t>② 设备出厂前，厂方的测试数据和测试报告。</w:t>
      </w:r>
    </w:p>
    <w:p w14:paraId="280A9662">
      <w:pPr>
        <w:tabs>
          <w:tab w:val="left" w:pos="360"/>
          <w:tab w:val="left" w:pos="420"/>
        </w:tabs>
        <w:ind w:firstLine="420" w:firstLineChars="200"/>
        <w:rPr>
          <w:color w:val="auto"/>
          <w:sz w:val="21"/>
          <w:szCs w:val="21"/>
        </w:rPr>
      </w:pPr>
      <w:r>
        <w:rPr>
          <w:rFonts w:hint="eastAsia"/>
          <w:color w:val="auto"/>
          <w:sz w:val="21"/>
          <w:szCs w:val="21"/>
        </w:rPr>
        <w:t>③ 设备出厂前，投标人抽查不小于总电路板数量的10％的测试数据和测试结果报告。</w:t>
      </w:r>
    </w:p>
    <w:p w14:paraId="3937E5E0">
      <w:pPr>
        <w:tabs>
          <w:tab w:val="left" w:pos="360"/>
          <w:tab w:val="left" w:pos="420"/>
        </w:tabs>
        <w:ind w:firstLine="420" w:firstLineChars="200"/>
        <w:rPr>
          <w:color w:val="auto"/>
          <w:sz w:val="21"/>
          <w:szCs w:val="21"/>
        </w:rPr>
      </w:pPr>
      <w:r>
        <w:rPr>
          <w:rFonts w:hint="eastAsia"/>
          <w:color w:val="auto"/>
          <w:sz w:val="21"/>
          <w:szCs w:val="21"/>
        </w:rPr>
        <w:t>5</w:t>
      </w:r>
      <w:r>
        <w:rPr>
          <w:color w:val="auto"/>
          <w:sz w:val="21"/>
          <w:szCs w:val="21"/>
        </w:rPr>
        <w:t>．</w:t>
      </w:r>
      <w:r>
        <w:rPr>
          <w:rFonts w:hint="eastAsia"/>
          <w:color w:val="auto"/>
          <w:sz w:val="21"/>
          <w:szCs w:val="21"/>
        </w:rPr>
        <w:t>其他</w:t>
      </w:r>
    </w:p>
    <w:p w14:paraId="307A85A9">
      <w:pPr>
        <w:tabs>
          <w:tab w:val="left" w:pos="360"/>
          <w:tab w:val="left" w:pos="420"/>
        </w:tabs>
        <w:ind w:firstLine="420" w:firstLineChars="200"/>
        <w:rPr>
          <w:color w:val="auto"/>
          <w:sz w:val="21"/>
          <w:szCs w:val="21"/>
        </w:rPr>
      </w:pPr>
      <w:r>
        <w:rPr>
          <w:rFonts w:hint="eastAsia"/>
          <w:color w:val="auto"/>
          <w:sz w:val="21"/>
          <w:szCs w:val="21"/>
        </w:rPr>
        <w:t>① 所有零部件（包括备件）的有效使用期限。</w:t>
      </w:r>
    </w:p>
    <w:p w14:paraId="67668294">
      <w:pPr>
        <w:tabs>
          <w:tab w:val="left" w:pos="360"/>
          <w:tab w:val="left" w:pos="420"/>
        </w:tabs>
        <w:ind w:firstLine="420" w:firstLineChars="200"/>
        <w:rPr>
          <w:color w:val="auto"/>
          <w:sz w:val="21"/>
          <w:szCs w:val="21"/>
        </w:rPr>
      </w:pPr>
      <w:r>
        <w:rPr>
          <w:rFonts w:hint="eastAsia"/>
          <w:color w:val="auto"/>
          <w:sz w:val="21"/>
          <w:szCs w:val="21"/>
        </w:rPr>
        <w:t>② 设备安装及硬、软件系统调试的技术资料。</w:t>
      </w:r>
    </w:p>
    <w:p w14:paraId="62AC4DF7">
      <w:pPr>
        <w:tabs>
          <w:tab w:val="left" w:pos="360"/>
          <w:tab w:val="left" w:pos="420"/>
        </w:tabs>
        <w:ind w:firstLine="420" w:firstLineChars="200"/>
        <w:rPr>
          <w:color w:val="auto"/>
          <w:sz w:val="21"/>
          <w:szCs w:val="21"/>
        </w:rPr>
      </w:pPr>
      <w:r>
        <w:rPr>
          <w:rFonts w:hint="eastAsia"/>
          <w:color w:val="auto"/>
          <w:sz w:val="21"/>
          <w:szCs w:val="21"/>
        </w:rPr>
        <w:t>③ 保证系统及各部分正常运行所需要的其它技术资料及技术数据。</w:t>
      </w:r>
    </w:p>
    <w:p w14:paraId="0737F3A5">
      <w:pPr>
        <w:tabs>
          <w:tab w:val="left" w:pos="360"/>
          <w:tab w:val="left" w:pos="420"/>
        </w:tabs>
        <w:ind w:firstLine="420" w:firstLineChars="200"/>
        <w:rPr>
          <w:color w:val="auto"/>
          <w:sz w:val="21"/>
          <w:szCs w:val="21"/>
        </w:rPr>
      </w:pPr>
      <w:r>
        <w:rPr>
          <w:rFonts w:hint="eastAsia"/>
          <w:color w:val="auto"/>
          <w:sz w:val="21"/>
          <w:szCs w:val="21"/>
        </w:rPr>
        <w:t>④ 以上所有文件及技术资料应为中文版本，采用国际通用的图形符号。</w:t>
      </w:r>
    </w:p>
    <w:p w14:paraId="088ABE89">
      <w:pPr>
        <w:tabs>
          <w:tab w:val="left" w:pos="360"/>
          <w:tab w:val="left" w:pos="420"/>
        </w:tabs>
        <w:ind w:firstLine="420" w:firstLineChars="200"/>
        <w:rPr>
          <w:color w:val="auto"/>
          <w:sz w:val="21"/>
          <w:szCs w:val="21"/>
        </w:rPr>
      </w:pPr>
      <w:r>
        <w:rPr>
          <w:rFonts w:hint="eastAsia"/>
          <w:color w:val="auto"/>
          <w:sz w:val="21"/>
          <w:szCs w:val="21"/>
        </w:rPr>
        <w:t>⑤ 为满足招标人工程设计，设备安装、操作使用、维护管理及系统扩展的需要，投标人应提供全套详细的设计技术资料的时间将在签订合同时商定。</w:t>
      </w:r>
    </w:p>
    <w:p w14:paraId="4DBC4D15">
      <w:pPr>
        <w:ind w:firstLine="422" w:firstLineChars="200"/>
        <w:outlineLvl w:val="2"/>
        <w:rPr>
          <w:b/>
          <w:color w:val="auto"/>
          <w:sz w:val="21"/>
          <w:szCs w:val="21"/>
        </w:rPr>
      </w:pPr>
      <w:bookmarkStart w:id="15" w:name="_Toc164609979"/>
      <w:r>
        <w:rPr>
          <w:rFonts w:hint="eastAsia"/>
          <w:b/>
          <w:color w:val="auto"/>
          <w:sz w:val="21"/>
          <w:szCs w:val="21"/>
        </w:rPr>
        <w:t>（二）技术培训</w:t>
      </w:r>
      <w:bookmarkEnd w:id="15"/>
    </w:p>
    <w:p w14:paraId="4BE60B20">
      <w:pPr>
        <w:tabs>
          <w:tab w:val="left" w:pos="360"/>
          <w:tab w:val="left" w:pos="420"/>
        </w:tabs>
        <w:ind w:firstLine="420" w:firstLineChars="200"/>
        <w:rPr>
          <w:color w:val="auto"/>
          <w:sz w:val="21"/>
          <w:szCs w:val="21"/>
        </w:rPr>
      </w:pPr>
      <w:r>
        <w:rPr>
          <w:color w:val="auto"/>
          <w:sz w:val="21"/>
          <w:szCs w:val="21"/>
        </w:rPr>
        <w:t>1．培训对象</w:t>
      </w:r>
    </w:p>
    <w:p w14:paraId="5345A510">
      <w:pPr>
        <w:tabs>
          <w:tab w:val="left" w:pos="360"/>
          <w:tab w:val="left" w:pos="420"/>
        </w:tabs>
        <w:ind w:firstLine="420" w:firstLineChars="200"/>
        <w:rPr>
          <w:color w:val="auto"/>
          <w:sz w:val="21"/>
          <w:szCs w:val="21"/>
        </w:rPr>
      </w:pPr>
      <w:r>
        <w:rPr>
          <w:rFonts w:hint="eastAsia"/>
          <w:color w:val="auto"/>
          <w:sz w:val="21"/>
          <w:szCs w:val="21"/>
        </w:rPr>
        <w:t>投标人应对招标人的工程设计人员、建设和监理单位人员、施工单位安装人员、维护管理人员及操作运用人员提供良好的技术培训条件，使其能胜任系统的工程设计、施工安装、调试、维修、软硬件故障处理以及熟练掌握系统的操作使用。培训工作由建设单位牵头组织进行</w:t>
      </w:r>
      <w:r>
        <w:rPr>
          <w:color w:val="auto"/>
          <w:sz w:val="21"/>
          <w:szCs w:val="21"/>
        </w:rPr>
        <w:t>。</w:t>
      </w:r>
    </w:p>
    <w:p w14:paraId="31DA39DE">
      <w:pPr>
        <w:tabs>
          <w:tab w:val="left" w:pos="360"/>
          <w:tab w:val="left" w:pos="420"/>
        </w:tabs>
        <w:ind w:firstLine="420" w:firstLineChars="200"/>
        <w:rPr>
          <w:color w:val="auto"/>
          <w:sz w:val="21"/>
          <w:szCs w:val="21"/>
        </w:rPr>
      </w:pPr>
      <w:r>
        <w:rPr>
          <w:color w:val="auto"/>
          <w:sz w:val="21"/>
          <w:szCs w:val="21"/>
        </w:rPr>
        <w:t>2．培训内容</w:t>
      </w:r>
    </w:p>
    <w:p w14:paraId="1BEAD86F">
      <w:pPr>
        <w:tabs>
          <w:tab w:val="left" w:pos="360"/>
          <w:tab w:val="left" w:pos="420"/>
        </w:tabs>
        <w:ind w:firstLine="420" w:firstLineChars="200"/>
        <w:rPr>
          <w:color w:val="auto"/>
          <w:sz w:val="21"/>
          <w:szCs w:val="21"/>
        </w:rPr>
      </w:pPr>
      <w:r>
        <w:rPr>
          <w:rFonts w:hint="eastAsia"/>
          <w:color w:val="auto"/>
          <w:sz w:val="21"/>
          <w:szCs w:val="21"/>
        </w:rPr>
        <w:t>1）在生产厂家培训的内容</w:t>
      </w:r>
    </w:p>
    <w:p w14:paraId="1B7DEB8D">
      <w:pPr>
        <w:tabs>
          <w:tab w:val="left" w:pos="360"/>
          <w:tab w:val="left" w:pos="420"/>
        </w:tabs>
        <w:ind w:firstLine="420" w:firstLineChars="200"/>
        <w:rPr>
          <w:color w:val="auto"/>
          <w:sz w:val="21"/>
          <w:szCs w:val="21"/>
        </w:rPr>
      </w:pPr>
      <w:r>
        <w:rPr>
          <w:rFonts w:hint="eastAsia"/>
          <w:color w:val="auto"/>
          <w:sz w:val="21"/>
          <w:szCs w:val="21"/>
        </w:rPr>
        <w:t>① 系统原理及结构；</w:t>
      </w:r>
    </w:p>
    <w:p w14:paraId="48C22FCD">
      <w:pPr>
        <w:tabs>
          <w:tab w:val="left" w:pos="360"/>
          <w:tab w:val="left" w:pos="420"/>
        </w:tabs>
        <w:ind w:firstLine="420" w:firstLineChars="200"/>
        <w:rPr>
          <w:color w:val="auto"/>
          <w:sz w:val="21"/>
          <w:szCs w:val="21"/>
        </w:rPr>
      </w:pPr>
      <w:r>
        <w:rPr>
          <w:rFonts w:hint="eastAsia"/>
          <w:color w:val="auto"/>
          <w:sz w:val="21"/>
          <w:szCs w:val="21"/>
        </w:rPr>
        <w:t>② 所有硬件的原理、安装及维护；</w:t>
      </w:r>
    </w:p>
    <w:p w14:paraId="5CB0B26C">
      <w:pPr>
        <w:tabs>
          <w:tab w:val="left" w:pos="360"/>
          <w:tab w:val="left" w:pos="420"/>
        </w:tabs>
        <w:ind w:firstLine="420" w:firstLineChars="200"/>
        <w:rPr>
          <w:color w:val="auto"/>
          <w:sz w:val="21"/>
          <w:szCs w:val="21"/>
        </w:rPr>
      </w:pPr>
      <w:r>
        <w:rPr>
          <w:rFonts w:hint="eastAsia"/>
          <w:color w:val="auto"/>
          <w:sz w:val="21"/>
          <w:szCs w:val="21"/>
        </w:rPr>
        <w:t>③ 各种显示器、打印装置、测试仪器(仪表)等的结构原理及使用方法；</w:t>
      </w:r>
    </w:p>
    <w:p w14:paraId="01B9C91B">
      <w:pPr>
        <w:tabs>
          <w:tab w:val="left" w:pos="360"/>
          <w:tab w:val="left" w:pos="420"/>
        </w:tabs>
        <w:ind w:firstLine="420" w:firstLineChars="200"/>
        <w:rPr>
          <w:color w:val="auto"/>
          <w:sz w:val="21"/>
          <w:szCs w:val="21"/>
        </w:rPr>
      </w:pPr>
      <w:r>
        <w:rPr>
          <w:rFonts w:hint="eastAsia"/>
          <w:color w:val="auto"/>
          <w:sz w:val="21"/>
          <w:szCs w:val="21"/>
        </w:rPr>
        <w:t>④ 培训人数及时间在设计联络时予以明确。</w:t>
      </w:r>
    </w:p>
    <w:p w14:paraId="4F64CB8D">
      <w:pPr>
        <w:tabs>
          <w:tab w:val="left" w:pos="360"/>
          <w:tab w:val="left" w:pos="420"/>
        </w:tabs>
        <w:ind w:firstLine="420" w:firstLineChars="200"/>
        <w:rPr>
          <w:color w:val="auto"/>
          <w:sz w:val="21"/>
          <w:szCs w:val="21"/>
        </w:rPr>
      </w:pPr>
      <w:r>
        <w:rPr>
          <w:rFonts w:hint="eastAsia"/>
          <w:color w:val="auto"/>
          <w:sz w:val="21"/>
          <w:szCs w:val="21"/>
        </w:rPr>
        <w:t>2）在现场培训的内容</w:t>
      </w:r>
    </w:p>
    <w:p w14:paraId="68E1C9A6">
      <w:pPr>
        <w:tabs>
          <w:tab w:val="left" w:pos="360"/>
          <w:tab w:val="left" w:pos="420"/>
        </w:tabs>
        <w:ind w:firstLine="420" w:firstLineChars="200"/>
        <w:rPr>
          <w:color w:val="auto"/>
          <w:sz w:val="21"/>
          <w:szCs w:val="21"/>
        </w:rPr>
      </w:pPr>
      <w:r>
        <w:rPr>
          <w:rFonts w:hint="eastAsia"/>
          <w:color w:val="auto"/>
          <w:sz w:val="21"/>
          <w:szCs w:val="21"/>
        </w:rPr>
        <w:t>① 系统的一般原理；</w:t>
      </w:r>
    </w:p>
    <w:p w14:paraId="3901C597">
      <w:pPr>
        <w:tabs>
          <w:tab w:val="left" w:pos="360"/>
          <w:tab w:val="left" w:pos="420"/>
        </w:tabs>
        <w:ind w:firstLine="420" w:firstLineChars="200"/>
        <w:rPr>
          <w:color w:val="auto"/>
          <w:sz w:val="21"/>
          <w:szCs w:val="21"/>
        </w:rPr>
      </w:pPr>
      <w:r>
        <w:rPr>
          <w:rFonts w:hint="eastAsia"/>
          <w:color w:val="auto"/>
          <w:sz w:val="21"/>
          <w:szCs w:val="21"/>
        </w:rPr>
        <w:t>② 系统设备的安装及维护；</w:t>
      </w:r>
    </w:p>
    <w:p w14:paraId="1405F4FF">
      <w:pPr>
        <w:tabs>
          <w:tab w:val="left" w:pos="360"/>
          <w:tab w:val="left" w:pos="420"/>
        </w:tabs>
        <w:ind w:firstLine="420" w:firstLineChars="200"/>
        <w:rPr>
          <w:color w:val="auto"/>
          <w:sz w:val="21"/>
          <w:szCs w:val="21"/>
        </w:rPr>
      </w:pPr>
      <w:r>
        <w:rPr>
          <w:rFonts w:hint="eastAsia"/>
          <w:color w:val="auto"/>
          <w:sz w:val="21"/>
          <w:szCs w:val="21"/>
        </w:rPr>
        <w:t>③ 系统软件的一般知识及调试方法；</w:t>
      </w:r>
    </w:p>
    <w:p w14:paraId="43948486">
      <w:pPr>
        <w:tabs>
          <w:tab w:val="left" w:pos="360"/>
          <w:tab w:val="left" w:pos="420"/>
        </w:tabs>
        <w:ind w:firstLine="420" w:firstLineChars="200"/>
        <w:rPr>
          <w:color w:val="auto"/>
          <w:sz w:val="21"/>
          <w:szCs w:val="21"/>
        </w:rPr>
      </w:pPr>
      <w:r>
        <w:rPr>
          <w:rFonts w:hint="eastAsia"/>
          <w:color w:val="auto"/>
          <w:sz w:val="21"/>
          <w:szCs w:val="21"/>
        </w:rPr>
        <w:t>④ 维护管理终端的原理及维护方法；</w:t>
      </w:r>
    </w:p>
    <w:p w14:paraId="33ACD0C3">
      <w:pPr>
        <w:tabs>
          <w:tab w:val="left" w:pos="360"/>
          <w:tab w:val="left" w:pos="420"/>
        </w:tabs>
        <w:ind w:firstLine="420" w:firstLineChars="200"/>
        <w:rPr>
          <w:color w:val="auto"/>
          <w:sz w:val="21"/>
          <w:szCs w:val="21"/>
        </w:rPr>
      </w:pPr>
      <w:r>
        <w:rPr>
          <w:rFonts w:hint="eastAsia"/>
          <w:color w:val="auto"/>
          <w:sz w:val="21"/>
          <w:szCs w:val="21"/>
        </w:rPr>
        <w:t>⑤ 系统各种设备的故障处理方法。</w:t>
      </w:r>
    </w:p>
    <w:p w14:paraId="07D198A4">
      <w:pPr>
        <w:tabs>
          <w:tab w:val="left" w:pos="360"/>
          <w:tab w:val="left" w:pos="420"/>
        </w:tabs>
        <w:ind w:firstLine="420" w:firstLineChars="200"/>
        <w:rPr>
          <w:color w:val="auto"/>
          <w:sz w:val="21"/>
          <w:szCs w:val="21"/>
        </w:rPr>
      </w:pPr>
      <w:r>
        <w:rPr>
          <w:rFonts w:hint="eastAsia"/>
          <w:color w:val="auto"/>
          <w:sz w:val="21"/>
          <w:szCs w:val="21"/>
        </w:rPr>
        <w:t>3、培训教师、教材及器材</w:t>
      </w:r>
    </w:p>
    <w:p w14:paraId="0ED99037">
      <w:pPr>
        <w:tabs>
          <w:tab w:val="left" w:pos="360"/>
          <w:tab w:val="left" w:pos="420"/>
        </w:tabs>
        <w:ind w:firstLine="420" w:firstLineChars="200"/>
        <w:rPr>
          <w:color w:val="auto"/>
          <w:sz w:val="21"/>
          <w:szCs w:val="21"/>
        </w:rPr>
      </w:pPr>
      <w:r>
        <w:rPr>
          <w:rFonts w:hint="eastAsia"/>
          <w:color w:val="auto"/>
          <w:sz w:val="21"/>
          <w:szCs w:val="21"/>
        </w:rPr>
        <w:t>① 培训教师应熟悉本专业知识及有相当的教学经验。</w:t>
      </w:r>
    </w:p>
    <w:p w14:paraId="4B7E5024">
      <w:pPr>
        <w:tabs>
          <w:tab w:val="left" w:pos="360"/>
          <w:tab w:val="left" w:pos="420"/>
        </w:tabs>
        <w:ind w:firstLine="420" w:firstLineChars="200"/>
        <w:rPr>
          <w:color w:val="auto"/>
          <w:sz w:val="21"/>
          <w:szCs w:val="21"/>
        </w:rPr>
      </w:pPr>
      <w:r>
        <w:rPr>
          <w:rFonts w:hint="eastAsia"/>
          <w:color w:val="auto"/>
          <w:sz w:val="21"/>
          <w:szCs w:val="21"/>
        </w:rPr>
        <w:t>② 投标人应提供培训的详细计划及教材，经招标人同意后方可使用。</w:t>
      </w:r>
    </w:p>
    <w:p w14:paraId="47D55DD4">
      <w:pPr>
        <w:tabs>
          <w:tab w:val="left" w:pos="360"/>
          <w:tab w:val="left" w:pos="420"/>
        </w:tabs>
        <w:ind w:firstLine="420" w:firstLineChars="200"/>
        <w:rPr>
          <w:color w:val="auto"/>
          <w:sz w:val="21"/>
          <w:szCs w:val="21"/>
        </w:rPr>
      </w:pPr>
      <w:r>
        <w:rPr>
          <w:rFonts w:hint="eastAsia"/>
          <w:color w:val="auto"/>
          <w:sz w:val="21"/>
          <w:szCs w:val="21"/>
        </w:rPr>
        <w:t>③ 投标人应提供每个学员一套资料，并免费提供学习环境和实习设备。</w:t>
      </w:r>
    </w:p>
    <w:p w14:paraId="5F7D654E">
      <w:pPr>
        <w:ind w:firstLine="422" w:firstLineChars="200"/>
        <w:outlineLvl w:val="2"/>
        <w:rPr>
          <w:b/>
          <w:color w:val="auto"/>
          <w:sz w:val="21"/>
          <w:szCs w:val="21"/>
        </w:rPr>
      </w:pPr>
      <w:bookmarkStart w:id="16" w:name="_Toc164609980"/>
      <w:r>
        <w:rPr>
          <w:b/>
          <w:color w:val="auto"/>
          <w:sz w:val="21"/>
          <w:szCs w:val="21"/>
        </w:rPr>
        <w:t>（三）技术指导及技术支援</w:t>
      </w:r>
      <w:bookmarkEnd w:id="16"/>
    </w:p>
    <w:p w14:paraId="68A452A0">
      <w:pPr>
        <w:tabs>
          <w:tab w:val="left" w:pos="360"/>
          <w:tab w:val="left" w:pos="420"/>
        </w:tabs>
        <w:ind w:firstLine="420" w:firstLineChars="200"/>
        <w:rPr>
          <w:color w:val="auto"/>
          <w:sz w:val="21"/>
          <w:szCs w:val="21"/>
        </w:rPr>
      </w:pPr>
      <w:r>
        <w:rPr>
          <w:rFonts w:hint="eastAsia"/>
          <w:color w:val="auto"/>
          <w:sz w:val="21"/>
          <w:szCs w:val="21"/>
        </w:rPr>
        <w:t>1</w:t>
      </w:r>
      <w:r>
        <w:rPr>
          <w:color w:val="auto"/>
          <w:sz w:val="21"/>
          <w:szCs w:val="21"/>
        </w:rPr>
        <w:t>．</w:t>
      </w:r>
      <w:r>
        <w:rPr>
          <w:rFonts w:hint="eastAsia"/>
          <w:color w:val="auto"/>
          <w:sz w:val="21"/>
          <w:szCs w:val="21"/>
        </w:rPr>
        <w:t>投标方应说明其可能提供的技术指导及技术支援的范围与程度。</w:t>
      </w:r>
    </w:p>
    <w:p w14:paraId="0302B68B">
      <w:pPr>
        <w:tabs>
          <w:tab w:val="left" w:pos="360"/>
          <w:tab w:val="left" w:pos="420"/>
        </w:tabs>
        <w:ind w:firstLine="420" w:firstLineChars="200"/>
        <w:rPr>
          <w:color w:val="auto"/>
          <w:sz w:val="21"/>
          <w:szCs w:val="21"/>
        </w:rPr>
      </w:pPr>
      <w:r>
        <w:rPr>
          <w:rFonts w:hint="eastAsia"/>
          <w:color w:val="auto"/>
          <w:sz w:val="21"/>
          <w:szCs w:val="21"/>
        </w:rPr>
        <w:t>2</w:t>
      </w:r>
      <w:r>
        <w:rPr>
          <w:color w:val="auto"/>
          <w:sz w:val="21"/>
          <w:szCs w:val="21"/>
        </w:rPr>
        <w:t>．</w:t>
      </w:r>
      <w:r>
        <w:rPr>
          <w:rFonts w:hint="eastAsia"/>
          <w:color w:val="auto"/>
          <w:sz w:val="21"/>
          <w:szCs w:val="21"/>
        </w:rPr>
        <w:t>工程设计技术支援</w:t>
      </w:r>
    </w:p>
    <w:p w14:paraId="1A21B3FC">
      <w:pPr>
        <w:tabs>
          <w:tab w:val="left" w:pos="360"/>
          <w:tab w:val="left" w:pos="420"/>
        </w:tabs>
        <w:ind w:firstLine="420" w:firstLineChars="200"/>
        <w:rPr>
          <w:color w:val="auto"/>
          <w:sz w:val="21"/>
          <w:szCs w:val="21"/>
        </w:rPr>
      </w:pPr>
      <w:r>
        <w:rPr>
          <w:rFonts w:hint="eastAsia"/>
          <w:color w:val="auto"/>
          <w:sz w:val="21"/>
          <w:szCs w:val="21"/>
        </w:rPr>
        <w:t>① 招标人在工程设计过程中，需要扩充和调整投标人提供的设备时，投标人应协助更改设备数量并对设备配置和设备间的联系提出建议或方案。</w:t>
      </w:r>
    </w:p>
    <w:p w14:paraId="1A029AF3">
      <w:pPr>
        <w:tabs>
          <w:tab w:val="left" w:pos="360"/>
          <w:tab w:val="left" w:pos="420"/>
        </w:tabs>
        <w:ind w:firstLine="420" w:firstLineChars="200"/>
        <w:rPr>
          <w:color w:val="auto"/>
          <w:sz w:val="21"/>
          <w:szCs w:val="21"/>
        </w:rPr>
      </w:pPr>
      <w:r>
        <w:rPr>
          <w:rFonts w:hint="eastAsia"/>
          <w:color w:val="auto"/>
          <w:sz w:val="21"/>
          <w:szCs w:val="21"/>
        </w:rPr>
        <w:t>② 招标人在工程设计过程中可随时向投标人提出有关设备和系统性能方面的技术咨询，投标人应负责及时解答并提供工程设计所需各项技术资料。</w:t>
      </w:r>
    </w:p>
    <w:p w14:paraId="70FF22EF">
      <w:pPr>
        <w:tabs>
          <w:tab w:val="left" w:pos="360"/>
          <w:tab w:val="left" w:pos="420"/>
        </w:tabs>
        <w:ind w:firstLine="420" w:firstLineChars="200"/>
        <w:rPr>
          <w:color w:val="auto"/>
          <w:sz w:val="21"/>
          <w:szCs w:val="21"/>
        </w:rPr>
      </w:pPr>
      <w:r>
        <w:rPr>
          <w:rFonts w:hint="eastAsia"/>
          <w:color w:val="auto"/>
          <w:sz w:val="21"/>
          <w:szCs w:val="21"/>
        </w:rPr>
        <w:t>③ 工程设计联络：招标人要求至少召开两次工程设计联络会议，一次在招标人所在地，一次在投标人所在地。要求投标人就设计联络的主要内容、费用等在技术建议书中提出，并在合同中确定，应保证在招标人进行工程设计全过程提供技术支援，并确保工程设计的顺利进行。</w:t>
      </w:r>
    </w:p>
    <w:p w14:paraId="06EC0FAE">
      <w:pPr>
        <w:tabs>
          <w:tab w:val="left" w:pos="360"/>
          <w:tab w:val="left" w:pos="420"/>
        </w:tabs>
        <w:ind w:firstLine="420" w:firstLineChars="200"/>
        <w:rPr>
          <w:color w:val="auto"/>
          <w:sz w:val="21"/>
          <w:szCs w:val="21"/>
        </w:rPr>
      </w:pPr>
      <w:r>
        <w:rPr>
          <w:rFonts w:hint="eastAsia"/>
          <w:color w:val="auto"/>
          <w:sz w:val="21"/>
          <w:szCs w:val="21"/>
        </w:rPr>
        <w:t>④ 计算机辅助设计：投标人应向招标人的工程设计人员提供计算机辅助设计的资料，具体时间将在签订合同时商定，并负责培训，保证招标人顺利、快捷完成工程设计。</w:t>
      </w:r>
    </w:p>
    <w:p w14:paraId="29224C92">
      <w:pPr>
        <w:tabs>
          <w:tab w:val="left" w:pos="360"/>
          <w:tab w:val="left" w:pos="420"/>
        </w:tabs>
        <w:ind w:firstLine="420" w:firstLineChars="200"/>
        <w:rPr>
          <w:color w:val="auto"/>
          <w:sz w:val="21"/>
          <w:szCs w:val="21"/>
        </w:rPr>
      </w:pPr>
      <w:r>
        <w:rPr>
          <w:rFonts w:hint="eastAsia"/>
          <w:color w:val="auto"/>
          <w:sz w:val="21"/>
          <w:szCs w:val="21"/>
        </w:rPr>
        <w:t>⑤ 除需要增加的设备和软件费用外，工程设计技术支援不增加额外的工程及服务费用。</w:t>
      </w:r>
    </w:p>
    <w:p w14:paraId="23E04605">
      <w:pPr>
        <w:tabs>
          <w:tab w:val="left" w:pos="360"/>
          <w:tab w:val="left" w:pos="420"/>
        </w:tabs>
        <w:ind w:firstLine="420" w:firstLineChars="200"/>
        <w:rPr>
          <w:color w:val="auto"/>
          <w:sz w:val="21"/>
          <w:szCs w:val="21"/>
        </w:rPr>
      </w:pPr>
      <w:r>
        <w:rPr>
          <w:rFonts w:hint="eastAsia"/>
          <w:color w:val="auto"/>
          <w:sz w:val="21"/>
          <w:szCs w:val="21"/>
        </w:rPr>
        <w:t>3</w:t>
      </w:r>
      <w:r>
        <w:rPr>
          <w:color w:val="auto"/>
          <w:sz w:val="21"/>
          <w:szCs w:val="21"/>
        </w:rPr>
        <w:t>．</w:t>
      </w:r>
      <w:r>
        <w:rPr>
          <w:rFonts w:hint="eastAsia"/>
          <w:color w:val="auto"/>
          <w:sz w:val="21"/>
          <w:szCs w:val="21"/>
        </w:rPr>
        <w:t>安装技术指导</w:t>
      </w:r>
    </w:p>
    <w:p w14:paraId="6DEB0482">
      <w:pPr>
        <w:tabs>
          <w:tab w:val="left" w:pos="360"/>
          <w:tab w:val="left" w:pos="420"/>
        </w:tabs>
        <w:ind w:firstLine="420" w:firstLineChars="200"/>
        <w:rPr>
          <w:color w:val="auto"/>
          <w:sz w:val="21"/>
          <w:szCs w:val="21"/>
        </w:rPr>
      </w:pPr>
      <w:r>
        <w:rPr>
          <w:rFonts w:hint="eastAsia"/>
          <w:color w:val="auto"/>
          <w:sz w:val="21"/>
          <w:szCs w:val="21"/>
        </w:rPr>
        <w:t>投标人应提供设备安装以及硬软件系统调试的技术，并提供安装和测试有关的工具仪器（仪表），还应负责安装技术指导工作。</w:t>
      </w:r>
    </w:p>
    <w:p w14:paraId="6C18CF22">
      <w:pPr>
        <w:tabs>
          <w:tab w:val="left" w:pos="360"/>
          <w:tab w:val="left" w:pos="420"/>
        </w:tabs>
        <w:ind w:firstLine="420" w:firstLineChars="200"/>
        <w:rPr>
          <w:color w:val="auto"/>
          <w:sz w:val="21"/>
          <w:szCs w:val="21"/>
        </w:rPr>
      </w:pPr>
      <w:r>
        <w:rPr>
          <w:rFonts w:hint="eastAsia"/>
          <w:color w:val="auto"/>
          <w:sz w:val="21"/>
          <w:szCs w:val="21"/>
        </w:rPr>
        <w:t>4</w:t>
      </w:r>
      <w:r>
        <w:rPr>
          <w:color w:val="auto"/>
          <w:sz w:val="21"/>
          <w:szCs w:val="21"/>
        </w:rPr>
        <w:t>．</w:t>
      </w:r>
      <w:r>
        <w:rPr>
          <w:rFonts w:hint="eastAsia"/>
          <w:color w:val="auto"/>
          <w:sz w:val="21"/>
          <w:szCs w:val="21"/>
        </w:rPr>
        <w:t>维护技术支援</w:t>
      </w:r>
    </w:p>
    <w:p w14:paraId="0ECF3860">
      <w:pPr>
        <w:tabs>
          <w:tab w:val="left" w:pos="360"/>
          <w:tab w:val="left" w:pos="420"/>
        </w:tabs>
        <w:ind w:firstLine="420" w:firstLineChars="200"/>
        <w:rPr>
          <w:color w:val="auto"/>
          <w:sz w:val="21"/>
          <w:szCs w:val="21"/>
        </w:rPr>
      </w:pPr>
      <w:r>
        <w:rPr>
          <w:rFonts w:hint="eastAsia"/>
          <w:color w:val="auto"/>
          <w:sz w:val="21"/>
          <w:szCs w:val="21"/>
        </w:rPr>
        <w:t>① 投标人所提供的设备在试用期内发生任何操作问题或系统全阻和其它主要问题，投标人应免费提供招标人所需的技术与其他支援。</w:t>
      </w:r>
    </w:p>
    <w:p w14:paraId="3EB27971">
      <w:pPr>
        <w:tabs>
          <w:tab w:val="left" w:pos="360"/>
          <w:tab w:val="left" w:pos="420"/>
        </w:tabs>
        <w:ind w:firstLine="420" w:firstLineChars="200"/>
        <w:rPr>
          <w:color w:val="auto"/>
          <w:sz w:val="21"/>
          <w:szCs w:val="21"/>
        </w:rPr>
      </w:pPr>
      <w:r>
        <w:rPr>
          <w:rFonts w:hint="eastAsia"/>
          <w:color w:val="auto"/>
          <w:sz w:val="21"/>
          <w:szCs w:val="21"/>
        </w:rPr>
        <w:t>② 双方应定期在商定的地点举行维护技术会谈，必要时经双方商议亦可增加不定期技术交流。</w:t>
      </w:r>
    </w:p>
    <w:p w14:paraId="5FE9B13A">
      <w:pPr>
        <w:tabs>
          <w:tab w:val="left" w:pos="360"/>
          <w:tab w:val="left" w:pos="420"/>
        </w:tabs>
        <w:ind w:firstLine="420" w:firstLineChars="200"/>
        <w:rPr>
          <w:color w:val="auto"/>
          <w:sz w:val="21"/>
          <w:szCs w:val="21"/>
        </w:rPr>
      </w:pPr>
      <w:r>
        <w:rPr>
          <w:rFonts w:hint="eastAsia"/>
          <w:color w:val="auto"/>
          <w:sz w:val="21"/>
          <w:szCs w:val="21"/>
        </w:rPr>
        <w:t>③ 投标人应有终身提供设备维护及维修所需的元器件的义务。</w:t>
      </w:r>
    </w:p>
    <w:p w14:paraId="2340DB5C">
      <w:pPr>
        <w:tabs>
          <w:tab w:val="left" w:pos="360"/>
          <w:tab w:val="left" w:pos="420"/>
        </w:tabs>
        <w:ind w:firstLine="420" w:firstLineChars="200"/>
        <w:rPr>
          <w:color w:val="auto"/>
          <w:sz w:val="21"/>
          <w:szCs w:val="21"/>
        </w:rPr>
      </w:pPr>
      <w:r>
        <w:rPr>
          <w:rFonts w:hint="eastAsia"/>
          <w:color w:val="auto"/>
          <w:sz w:val="21"/>
          <w:szCs w:val="21"/>
        </w:rPr>
        <w:t>④ 投标人应对所提供软件终身免费维护。</w:t>
      </w:r>
    </w:p>
    <w:p w14:paraId="0A2C115F">
      <w:pPr>
        <w:tabs>
          <w:tab w:val="left" w:pos="360"/>
          <w:tab w:val="left" w:pos="420"/>
        </w:tabs>
        <w:ind w:firstLine="420" w:firstLineChars="200"/>
        <w:rPr>
          <w:color w:val="auto"/>
          <w:sz w:val="21"/>
          <w:szCs w:val="21"/>
        </w:rPr>
      </w:pPr>
      <w:r>
        <w:rPr>
          <w:rFonts w:hint="eastAsia"/>
          <w:color w:val="auto"/>
          <w:sz w:val="21"/>
          <w:szCs w:val="21"/>
        </w:rPr>
        <w:t>5</w:t>
      </w:r>
      <w:r>
        <w:rPr>
          <w:color w:val="auto"/>
          <w:sz w:val="21"/>
          <w:szCs w:val="21"/>
        </w:rPr>
        <w:t>．</w:t>
      </w:r>
      <w:r>
        <w:rPr>
          <w:rFonts w:hint="eastAsia"/>
          <w:color w:val="auto"/>
          <w:sz w:val="21"/>
          <w:szCs w:val="21"/>
        </w:rPr>
        <w:t>系统硬件及软件局部修改</w:t>
      </w:r>
    </w:p>
    <w:p w14:paraId="57A31EC9">
      <w:pPr>
        <w:tabs>
          <w:tab w:val="left" w:pos="360"/>
          <w:tab w:val="left" w:pos="420"/>
        </w:tabs>
        <w:ind w:firstLine="420" w:firstLineChars="200"/>
        <w:rPr>
          <w:color w:val="auto"/>
          <w:sz w:val="21"/>
          <w:szCs w:val="21"/>
        </w:rPr>
      </w:pPr>
      <w:r>
        <w:rPr>
          <w:rFonts w:hint="eastAsia"/>
          <w:color w:val="auto"/>
          <w:sz w:val="21"/>
          <w:szCs w:val="21"/>
        </w:rPr>
        <w:t>① 在安装和运营期内，任何由系统设计、系统制造、安装工程等缺陷而发生的设备修改和软件更换，由投标人免费更换或修改。</w:t>
      </w:r>
    </w:p>
    <w:p w14:paraId="27E0E47B">
      <w:pPr>
        <w:tabs>
          <w:tab w:val="left" w:pos="360"/>
          <w:tab w:val="left" w:pos="420"/>
        </w:tabs>
        <w:ind w:firstLine="420" w:firstLineChars="200"/>
        <w:rPr>
          <w:color w:val="auto"/>
          <w:sz w:val="21"/>
          <w:szCs w:val="21"/>
        </w:rPr>
      </w:pPr>
      <w:r>
        <w:rPr>
          <w:rFonts w:hint="eastAsia"/>
          <w:color w:val="auto"/>
          <w:sz w:val="21"/>
          <w:szCs w:val="21"/>
        </w:rPr>
        <w:t>② 如所供系统今后利用新技术在软、硬件方面有任何性能或功能的改进以及产品革新，投标人应免费通知招标人其改进的详细情况，并提供以优惠价格为基础的修改报价，以便招标人选择。</w:t>
      </w:r>
    </w:p>
    <w:p w14:paraId="79AA05E4">
      <w:pPr>
        <w:spacing w:line="480" w:lineRule="auto"/>
        <w:ind w:firstLine="420" w:firstLineChars="200"/>
        <w:outlineLvl w:val="1"/>
        <w:rPr>
          <w:rFonts w:eastAsia="黑体"/>
          <w:color w:val="auto"/>
          <w:sz w:val="21"/>
          <w:szCs w:val="21"/>
        </w:rPr>
      </w:pPr>
      <w:bookmarkStart w:id="17" w:name="_Toc164609981"/>
      <w:r>
        <w:rPr>
          <w:rFonts w:hint="eastAsia" w:eastAsia="黑体"/>
          <w:color w:val="auto"/>
          <w:sz w:val="21"/>
          <w:szCs w:val="21"/>
        </w:rPr>
        <w:t>十二</w:t>
      </w:r>
      <w:r>
        <w:rPr>
          <w:rFonts w:eastAsia="黑体"/>
          <w:color w:val="auto"/>
          <w:sz w:val="21"/>
          <w:szCs w:val="21"/>
        </w:rPr>
        <w:t>、</w:t>
      </w:r>
      <w:r>
        <w:rPr>
          <w:rFonts w:hint="eastAsia" w:eastAsia="黑体"/>
          <w:bCs/>
          <w:color w:val="auto"/>
          <w:sz w:val="21"/>
          <w:szCs w:val="21"/>
        </w:rPr>
        <w:t>质量保证</w:t>
      </w:r>
      <w:bookmarkEnd w:id="17"/>
    </w:p>
    <w:p w14:paraId="0AB0F969">
      <w:pPr>
        <w:tabs>
          <w:tab w:val="left" w:pos="360"/>
          <w:tab w:val="left" w:pos="420"/>
        </w:tabs>
        <w:ind w:firstLine="420" w:firstLineChars="200"/>
        <w:rPr>
          <w:color w:val="auto"/>
          <w:sz w:val="21"/>
          <w:szCs w:val="21"/>
        </w:rPr>
      </w:pPr>
      <w:r>
        <w:rPr>
          <w:rFonts w:hint="eastAsia"/>
          <w:color w:val="auto"/>
          <w:sz w:val="21"/>
          <w:szCs w:val="21"/>
        </w:rPr>
        <w:t>1</w:t>
      </w:r>
      <w:r>
        <w:rPr>
          <w:color w:val="auto"/>
          <w:sz w:val="21"/>
          <w:szCs w:val="21"/>
        </w:rPr>
        <w:t>．</w:t>
      </w:r>
      <w:r>
        <w:rPr>
          <w:rFonts w:hint="eastAsia"/>
          <w:color w:val="auto"/>
          <w:sz w:val="21"/>
          <w:szCs w:val="21"/>
        </w:rPr>
        <w:t>投标人应保证其提供的产品及服务完全符合合同规定的质量、规格和性能的要求；并保证所提供的货物在其使用寿命期内应具有满意的性能。</w:t>
      </w:r>
    </w:p>
    <w:p w14:paraId="425CF51B">
      <w:pPr>
        <w:tabs>
          <w:tab w:val="left" w:pos="360"/>
          <w:tab w:val="left" w:pos="420"/>
        </w:tabs>
        <w:ind w:firstLine="420" w:firstLineChars="200"/>
        <w:rPr>
          <w:color w:val="auto"/>
          <w:sz w:val="21"/>
          <w:szCs w:val="21"/>
        </w:rPr>
      </w:pPr>
      <w:r>
        <w:rPr>
          <w:rFonts w:hint="eastAsia"/>
          <w:color w:val="auto"/>
          <w:sz w:val="21"/>
          <w:szCs w:val="21"/>
        </w:rPr>
        <w:t>2</w:t>
      </w:r>
      <w:r>
        <w:rPr>
          <w:color w:val="auto"/>
          <w:sz w:val="21"/>
          <w:szCs w:val="21"/>
        </w:rPr>
        <w:t>．</w:t>
      </w:r>
      <w:r>
        <w:rPr>
          <w:rFonts w:hint="eastAsia"/>
          <w:color w:val="auto"/>
          <w:sz w:val="21"/>
          <w:szCs w:val="21"/>
        </w:rPr>
        <w:t>根据招标人按检验标准自己检验结果或当地质检部门检验结果，或者在质量保证期内，如果货物的数量、质量或规格与合同不符，或证实货物是有缺陷的，招标人有权提出索赔。</w:t>
      </w:r>
    </w:p>
    <w:p w14:paraId="0333DCFC">
      <w:pPr>
        <w:tabs>
          <w:tab w:val="left" w:pos="360"/>
          <w:tab w:val="left" w:pos="420"/>
        </w:tabs>
        <w:ind w:firstLine="420" w:firstLineChars="200"/>
        <w:rPr>
          <w:color w:val="auto"/>
          <w:sz w:val="21"/>
          <w:szCs w:val="21"/>
        </w:rPr>
      </w:pPr>
      <w:r>
        <w:rPr>
          <w:rFonts w:hint="eastAsia"/>
          <w:color w:val="auto"/>
          <w:sz w:val="21"/>
          <w:szCs w:val="21"/>
        </w:rPr>
        <w:t>3</w:t>
      </w:r>
      <w:r>
        <w:rPr>
          <w:color w:val="auto"/>
          <w:sz w:val="21"/>
          <w:szCs w:val="21"/>
        </w:rPr>
        <w:t>．</w:t>
      </w:r>
      <w:r>
        <w:rPr>
          <w:rFonts w:hint="eastAsia"/>
          <w:color w:val="auto"/>
          <w:sz w:val="21"/>
          <w:szCs w:val="21"/>
        </w:rPr>
        <w:t>质保期内投标人须自行付费，负责修理和替换任何由于产品自身的质量问题造成的损坏及故障。</w:t>
      </w:r>
    </w:p>
    <w:p w14:paraId="77B170A8">
      <w:pPr>
        <w:tabs>
          <w:tab w:val="left" w:pos="360"/>
          <w:tab w:val="left" w:pos="420"/>
        </w:tabs>
        <w:ind w:firstLine="420" w:firstLineChars="200"/>
        <w:rPr>
          <w:color w:val="auto"/>
          <w:sz w:val="21"/>
          <w:szCs w:val="21"/>
        </w:rPr>
      </w:pPr>
      <w:r>
        <w:rPr>
          <w:rFonts w:hint="eastAsia"/>
          <w:color w:val="auto"/>
          <w:sz w:val="21"/>
          <w:szCs w:val="21"/>
        </w:rPr>
        <w:t>4</w:t>
      </w:r>
      <w:r>
        <w:rPr>
          <w:color w:val="auto"/>
          <w:sz w:val="21"/>
          <w:szCs w:val="21"/>
        </w:rPr>
        <w:t>．</w:t>
      </w:r>
      <w:r>
        <w:rPr>
          <w:rFonts w:hint="eastAsia"/>
          <w:color w:val="auto"/>
          <w:sz w:val="21"/>
          <w:szCs w:val="21"/>
        </w:rPr>
        <w:t>系统的质保期为开通验收后2年，可维护使用期不得少于10年。</w:t>
      </w:r>
    </w:p>
    <w:p w14:paraId="6D3BD750">
      <w:pPr>
        <w:tabs>
          <w:tab w:val="left" w:pos="360"/>
          <w:tab w:val="left" w:pos="420"/>
        </w:tabs>
        <w:ind w:firstLine="420" w:firstLineChars="200"/>
        <w:rPr>
          <w:color w:val="auto"/>
          <w:sz w:val="21"/>
          <w:szCs w:val="21"/>
        </w:rPr>
      </w:pPr>
      <w:r>
        <w:rPr>
          <w:rFonts w:hint="eastAsia"/>
          <w:color w:val="auto"/>
          <w:sz w:val="21"/>
          <w:szCs w:val="21"/>
        </w:rPr>
        <w:t>5</w:t>
      </w:r>
      <w:r>
        <w:rPr>
          <w:color w:val="auto"/>
          <w:sz w:val="21"/>
          <w:szCs w:val="21"/>
        </w:rPr>
        <w:t>．</w:t>
      </w:r>
      <w:r>
        <w:rPr>
          <w:rFonts w:hint="eastAsia"/>
          <w:color w:val="auto"/>
          <w:sz w:val="21"/>
          <w:szCs w:val="21"/>
        </w:rPr>
        <w:t>投标人应提供必要的系统维护及维修设备、工具、仪表，具体数量在签定合同时确定。</w:t>
      </w:r>
    </w:p>
    <w:p w14:paraId="2BC019C4">
      <w:pPr>
        <w:tabs>
          <w:tab w:val="left" w:pos="360"/>
          <w:tab w:val="left" w:pos="420"/>
        </w:tabs>
        <w:ind w:firstLine="420" w:firstLineChars="200"/>
        <w:rPr>
          <w:color w:val="auto"/>
          <w:sz w:val="21"/>
          <w:szCs w:val="21"/>
        </w:rPr>
      </w:pPr>
      <w:r>
        <w:rPr>
          <w:rFonts w:hint="eastAsia"/>
          <w:color w:val="auto"/>
          <w:sz w:val="21"/>
          <w:szCs w:val="21"/>
        </w:rPr>
        <w:t>6</w:t>
      </w:r>
      <w:r>
        <w:rPr>
          <w:color w:val="auto"/>
          <w:sz w:val="21"/>
          <w:szCs w:val="21"/>
        </w:rPr>
        <w:t>．</w:t>
      </w:r>
      <w:r>
        <w:rPr>
          <w:rFonts w:hint="eastAsia"/>
          <w:color w:val="auto"/>
          <w:sz w:val="21"/>
          <w:szCs w:val="21"/>
        </w:rPr>
        <w:t>维护设备用以监督、记录系统工作的状态，当系统故障时可提供诊断结果。</w:t>
      </w:r>
    </w:p>
    <w:p w14:paraId="03A937DE">
      <w:pPr>
        <w:tabs>
          <w:tab w:val="left" w:pos="360"/>
          <w:tab w:val="left" w:pos="420"/>
        </w:tabs>
        <w:ind w:firstLine="420" w:firstLineChars="200"/>
        <w:rPr>
          <w:color w:val="auto"/>
          <w:sz w:val="21"/>
          <w:szCs w:val="21"/>
        </w:rPr>
      </w:pPr>
      <w:r>
        <w:rPr>
          <w:rFonts w:hint="eastAsia"/>
          <w:color w:val="auto"/>
          <w:sz w:val="21"/>
          <w:szCs w:val="21"/>
        </w:rPr>
        <w:t>7</w:t>
      </w:r>
      <w:r>
        <w:rPr>
          <w:color w:val="auto"/>
          <w:sz w:val="21"/>
          <w:szCs w:val="21"/>
        </w:rPr>
        <w:t>．</w:t>
      </w:r>
      <w:r>
        <w:rPr>
          <w:rFonts w:hint="eastAsia"/>
          <w:color w:val="auto"/>
          <w:sz w:val="21"/>
          <w:szCs w:val="21"/>
        </w:rPr>
        <w:t>维护设备与控制系统的工作应是完全独立的，维护设备的故障不能影响控制系统的正常工作。</w:t>
      </w:r>
    </w:p>
    <w:p w14:paraId="0DD0F3F4">
      <w:pPr>
        <w:tabs>
          <w:tab w:val="left" w:pos="360"/>
          <w:tab w:val="left" w:pos="420"/>
        </w:tabs>
        <w:ind w:firstLine="420" w:firstLineChars="200"/>
        <w:rPr>
          <w:color w:val="auto"/>
          <w:sz w:val="21"/>
          <w:szCs w:val="21"/>
        </w:rPr>
      </w:pPr>
      <w:r>
        <w:rPr>
          <w:rFonts w:hint="eastAsia"/>
          <w:color w:val="auto"/>
          <w:sz w:val="21"/>
          <w:szCs w:val="21"/>
        </w:rPr>
        <w:t>8</w:t>
      </w:r>
      <w:r>
        <w:rPr>
          <w:color w:val="auto"/>
          <w:sz w:val="21"/>
          <w:szCs w:val="21"/>
        </w:rPr>
        <w:t>．</w:t>
      </w:r>
      <w:r>
        <w:rPr>
          <w:rFonts w:hint="eastAsia"/>
          <w:color w:val="auto"/>
          <w:sz w:val="21"/>
          <w:szCs w:val="21"/>
        </w:rPr>
        <w:t>维修设备应能满足系统故障后的维修工作要求。</w:t>
      </w:r>
    </w:p>
    <w:p w14:paraId="242B82E0">
      <w:pPr>
        <w:tabs>
          <w:tab w:val="left" w:pos="360"/>
          <w:tab w:val="left" w:pos="420"/>
        </w:tabs>
        <w:ind w:firstLine="420" w:firstLineChars="200"/>
        <w:rPr>
          <w:color w:val="auto"/>
          <w:sz w:val="21"/>
          <w:szCs w:val="21"/>
        </w:rPr>
      </w:pPr>
      <w:r>
        <w:rPr>
          <w:rFonts w:hint="eastAsia"/>
          <w:color w:val="auto"/>
          <w:sz w:val="21"/>
          <w:szCs w:val="21"/>
        </w:rPr>
        <w:t>9</w:t>
      </w:r>
      <w:r>
        <w:rPr>
          <w:color w:val="auto"/>
          <w:sz w:val="21"/>
          <w:szCs w:val="21"/>
        </w:rPr>
        <w:t>．</w:t>
      </w:r>
      <w:r>
        <w:rPr>
          <w:rFonts w:hint="eastAsia"/>
          <w:color w:val="auto"/>
          <w:sz w:val="21"/>
          <w:szCs w:val="21"/>
        </w:rPr>
        <w:t>对于现场需进行应急处理时，到达现场时间不超过24小时。</w:t>
      </w:r>
    </w:p>
    <w:p w14:paraId="34489DCC">
      <w:pPr>
        <w:spacing w:line="480" w:lineRule="auto"/>
        <w:ind w:firstLine="420" w:firstLineChars="200"/>
        <w:outlineLvl w:val="1"/>
        <w:rPr>
          <w:rFonts w:eastAsia="黑体"/>
          <w:color w:val="auto"/>
          <w:sz w:val="21"/>
          <w:szCs w:val="21"/>
        </w:rPr>
      </w:pPr>
      <w:bookmarkStart w:id="18" w:name="_Toc164609982"/>
      <w:r>
        <w:rPr>
          <w:rFonts w:hint="eastAsia" w:eastAsia="黑体"/>
          <w:color w:val="auto"/>
          <w:sz w:val="21"/>
          <w:szCs w:val="21"/>
        </w:rPr>
        <w:t>十三</w:t>
      </w:r>
      <w:r>
        <w:rPr>
          <w:rFonts w:eastAsia="黑体"/>
          <w:color w:val="auto"/>
          <w:sz w:val="21"/>
          <w:szCs w:val="21"/>
        </w:rPr>
        <w:t>、</w:t>
      </w:r>
      <w:r>
        <w:rPr>
          <w:rFonts w:hint="eastAsia" w:eastAsia="黑体"/>
          <w:bCs/>
          <w:color w:val="auto"/>
          <w:sz w:val="21"/>
          <w:szCs w:val="21"/>
        </w:rPr>
        <w:t>附则</w:t>
      </w:r>
      <w:bookmarkEnd w:id="18"/>
    </w:p>
    <w:p w14:paraId="60DA6D74">
      <w:pPr>
        <w:tabs>
          <w:tab w:val="left" w:pos="360"/>
          <w:tab w:val="left" w:pos="420"/>
        </w:tabs>
        <w:ind w:firstLine="420" w:firstLineChars="200"/>
        <w:rPr>
          <w:color w:val="auto"/>
          <w:sz w:val="21"/>
          <w:szCs w:val="21"/>
        </w:rPr>
      </w:pPr>
      <w:r>
        <w:rPr>
          <w:rFonts w:hint="eastAsia"/>
          <w:color w:val="auto"/>
          <w:sz w:val="21"/>
          <w:szCs w:val="21"/>
        </w:rPr>
        <w:t>1</w:t>
      </w:r>
      <w:r>
        <w:rPr>
          <w:color w:val="auto"/>
          <w:sz w:val="21"/>
          <w:szCs w:val="21"/>
        </w:rPr>
        <w:t>．带</w:t>
      </w:r>
      <w:r>
        <w:rPr>
          <w:rFonts w:ascii="宋体" w:hAnsi="宋体"/>
          <w:color w:val="auto"/>
          <w:sz w:val="21"/>
          <w:szCs w:val="21"/>
        </w:rPr>
        <w:t>“</w:t>
      </w:r>
      <w:r>
        <w:rPr>
          <w:rFonts w:hint="eastAsia"/>
          <w:color w:val="auto"/>
          <w:sz w:val="21"/>
          <w:szCs w:val="21"/>
        </w:rPr>
        <w:t>★</w:t>
      </w:r>
      <w:r>
        <w:rPr>
          <w:rFonts w:ascii="宋体" w:hAnsi="宋体"/>
          <w:color w:val="auto"/>
          <w:sz w:val="21"/>
          <w:szCs w:val="21"/>
        </w:rPr>
        <w:t>”</w:t>
      </w:r>
      <w:r>
        <w:rPr>
          <w:color w:val="auto"/>
          <w:sz w:val="21"/>
          <w:szCs w:val="21"/>
        </w:rPr>
        <w:t>之条款，招标方视为必备条件，如不能满足，则视其投标书为废标。</w:t>
      </w:r>
    </w:p>
    <w:p w14:paraId="36A5ECE2">
      <w:pPr>
        <w:tabs>
          <w:tab w:val="left" w:pos="360"/>
          <w:tab w:val="left" w:pos="420"/>
        </w:tabs>
        <w:ind w:firstLine="420" w:firstLineChars="200"/>
        <w:rPr>
          <w:color w:val="auto"/>
          <w:sz w:val="21"/>
          <w:szCs w:val="21"/>
        </w:rPr>
      </w:pPr>
      <w:r>
        <w:rPr>
          <w:rFonts w:hint="eastAsia"/>
          <w:color w:val="auto"/>
          <w:sz w:val="21"/>
          <w:szCs w:val="21"/>
        </w:rPr>
        <w:t>2</w:t>
      </w:r>
      <w:r>
        <w:rPr>
          <w:color w:val="auto"/>
          <w:sz w:val="21"/>
          <w:szCs w:val="21"/>
        </w:rPr>
        <w:t>．本技术规格书的解释权属招标单位。</w:t>
      </w:r>
    </w:p>
    <w:p w14:paraId="2079208F">
      <w:pPr>
        <w:pStyle w:val="6"/>
        <w:spacing w:line="360" w:lineRule="auto"/>
        <w:rPr>
          <w:rFonts w:hint="eastAsia" w:hAnsi="宋体"/>
          <w:b/>
          <w:color w:val="auto"/>
          <w:sz w:val="36"/>
          <w:szCs w:val="36"/>
        </w:rPr>
      </w:pPr>
    </w:p>
    <w:p w14:paraId="53CFBC82">
      <w:pPr>
        <w:pStyle w:val="6"/>
        <w:spacing w:line="360" w:lineRule="auto"/>
        <w:rPr>
          <w:rFonts w:hint="eastAsia" w:hAnsi="宋体"/>
          <w:b/>
          <w:color w:val="auto"/>
          <w:sz w:val="36"/>
          <w:szCs w:val="36"/>
        </w:rPr>
      </w:pPr>
    </w:p>
    <w:p w14:paraId="3571F6E5">
      <w:pPr>
        <w:pStyle w:val="6"/>
        <w:spacing w:line="360" w:lineRule="auto"/>
        <w:rPr>
          <w:rFonts w:hint="eastAsia" w:hAnsi="宋体"/>
          <w:b/>
          <w:color w:val="auto"/>
          <w:sz w:val="36"/>
          <w:szCs w:val="36"/>
        </w:rPr>
      </w:pPr>
    </w:p>
    <w:p w14:paraId="1F62C14E">
      <w:pPr>
        <w:pStyle w:val="6"/>
        <w:spacing w:line="360" w:lineRule="auto"/>
        <w:rPr>
          <w:rFonts w:hint="eastAsia" w:hAnsi="宋体"/>
          <w:b/>
          <w:color w:val="auto"/>
          <w:sz w:val="36"/>
          <w:szCs w:val="36"/>
        </w:rPr>
      </w:pPr>
    </w:p>
    <w:p w14:paraId="4A7FCCD1">
      <w:pPr>
        <w:pStyle w:val="6"/>
        <w:spacing w:line="360" w:lineRule="auto"/>
        <w:rPr>
          <w:rFonts w:hint="eastAsia" w:hAnsi="宋体"/>
          <w:b/>
          <w:color w:val="auto"/>
          <w:sz w:val="36"/>
          <w:szCs w:val="36"/>
        </w:rPr>
      </w:pPr>
    </w:p>
    <w:p w14:paraId="202EC1DA">
      <w:pPr>
        <w:pStyle w:val="6"/>
        <w:spacing w:line="360" w:lineRule="auto"/>
        <w:rPr>
          <w:rFonts w:hint="eastAsia" w:hAnsi="宋体"/>
          <w:b/>
          <w:color w:val="auto"/>
          <w:sz w:val="36"/>
          <w:szCs w:val="36"/>
        </w:rPr>
      </w:pPr>
    </w:p>
    <w:p w14:paraId="6B999732">
      <w:pPr>
        <w:pStyle w:val="6"/>
        <w:spacing w:line="360" w:lineRule="auto"/>
        <w:rPr>
          <w:rFonts w:hint="eastAsia" w:hAnsi="宋体"/>
          <w:b/>
          <w:color w:val="auto"/>
          <w:sz w:val="36"/>
          <w:szCs w:val="36"/>
        </w:rPr>
      </w:pPr>
    </w:p>
    <w:p w14:paraId="66BEC753">
      <w:pPr>
        <w:spacing w:line="480" w:lineRule="auto"/>
        <w:ind w:firstLine="1980" w:firstLineChars="450"/>
        <w:outlineLvl w:val="1"/>
        <w:rPr>
          <w:rFonts w:eastAsia="黑体"/>
          <w:color w:val="auto"/>
          <w:sz w:val="44"/>
          <w:szCs w:val="44"/>
        </w:rPr>
      </w:pPr>
      <w:r>
        <w:rPr>
          <w:rFonts w:hint="eastAsia" w:eastAsia="黑体"/>
          <w:color w:val="auto"/>
          <w:sz w:val="44"/>
          <w:szCs w:val="44"/>
        </w:rPr>
        <w:t>DMR数字综合无线系统</w:t>
      </w:r>
    </w:p>
    <w:p w14:paraId="7FC20861">
      <w:pPr>
        <w:pStyle w:val="7"/>
        <w:spacing w:before="191" w:after="191"/>
        <w:rPr>
          <w:rFonts w:hint="eastAsia"/>
          <w:color w:val="auto"/>
          <w:sz w:val="21"/>
          <w:szCs w:val="21"/>
        </w:rPr>
      </w:pPr>
      <w:bookmarkStart w:id="19" w:name="_Toc406327248"/>
      <w:bookmarkStart w:id="20" w:name="_Toc406330021"/>
      <w:bookmarkStart w:id="21" w:name="_Toc25823"/>
      <w:bookmarkStart w:id="22" w:name="_Toc207723023"/>
      <w:bookmarkStart w:id="23" w:name="_Toc245540986"/>
      <w:r>
        <w:rPr>
          <w:rFonts w:hint="eastAsia"/>
          <w:color w:val="auto"/>
          <w:sz w:val="21"/>
          <w:szCs w:val="21"/>
        </w:rPr>
        <w:t>第一篇  货物及服务需求一览表</w:t>
      </w:r>
      <w:bookmarkEnd w:id="19"/>
      <w:bookmarkEnd w:id="20"/>
      <w:bookmarkEnd w:id="21"/>
      <w:bookmarkStart w:id="24" w:name="_Toc406330022"/>
      <w:bookmarkStart w:id="25" w:name="_Toc406327249"/>
    </w:p>
    <w:p w14:paraId="51C865E7">
      <w:pPr>
        <w:pStyle w:val="8"/>
        <w:rPr>
          <w:rFonts w:hint="eastAsia"/>
          <w:color w:val="auto"/>
          <w:sz w:val="21"/>
          <w:szCs w:val="21"/>
        </w:rPr>
      </w:pPr>
      <w:bookmarkStart w:id="26" w:name="_Toc20530"/>
      <w:r>
        <w:rPr>
          <w:rFonts w:hint="eastAsia"/>
          <w:color w:val="auto"/>
          <w:sz w:val="21"/>
          <w:szCs w:val="21"/>
        </w:rPr>
        <w:t>1.货物需求一览表</w:t>
      </w:r>
      <w:bookmarkEnd w:id="24"/>
      <w:bookmarkEnd w:id="25"/>
      <w:bookmarkEnd w:id="26"/>
    </w:p>
    <w:tbl>
      <w:tblPr>
        <w:tblStyle w:val="4"/>
        <w:tblW w:w="4232"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601"/>
        <w:gridCol w:w="2608"/>
        <w:gridCol w:w="566"/>
        <w:gridCol w:w="654"/>
        <w:gridCol w:w="2784"/>
      </w:tblGrid>
      <w:tr w14:paraId="3E31976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tblHeader/>
          <w:jc w:val="center"/>
        </w:trPr>
        <w:tc>
          <w:tcPr>
            <w:tcW w:w="417" w:type="pct"/>
            <w:vAlign w:val="center"/>
          </w:tcPr>
          <w:p w14:paraId="0FFA21B8">
            <w:pPr>
              <w:snapToGrid w:val="0"/>
              <w:spacing w:line="240" w:lineRule="exact"/>
              <w:jc w:val="center"/>
              <w:rPr>
                <w:color w:val="auto"/>
                <w:sz w:val="21"/>
                <w:szCs w:val="21"/>
              </w:rPr>
            </w:pPr>
            <w:r>
              <w:rPr>
                <w:rFonts w:hint="eastAsia"/>
                <w:color w:val="auto"/>
                <w:sz w:val="21"/>
                <w:szCs w:val="21"/>
              </w:rPr>
              <w:t>序号</w:t>
            </w:r>
          </w:p>
        </w:tc>
        <w:tc>
          <w:tcPr>
            <w:tcW w:w="1807" w:type="pct"/>
            <w:vAlign w:val="center"/>
          </w:tcPr>
          <w:p w14:paraId="09EC384F">
            <w:pPr>
              <w:snapToGrid w:val="0"/>
              <w:spacing w:line="240" w:lineRule="exact"/>
              <w:jc w:val="center"/>
              <w:rPr>
                <w:color w:val="auto"/>
                <w:sz w:val="21"/>
                <w:szCs w:val="21"/>
              </w:rPr>
            </w:pPr>
            <w:r>
              <w:rPr>
                <w:rFonts w:hint="eastAsia"/>
                <w:color w:val="auto"/>
                <w:sz w:val="21"/>
                <w:szCs w:val="21"/>
              </w:rPr>
              <w:t>设  备  名  称</w:t>
            </w:r>
          </w:p>
        </w:tc>
        <w:tc>
          <w:tcPr>
            <w:tcW w:w="392" w:type="pct"/>
            <w:vAlign w:val="center"/>
          </w:tcPr>
          <w:p w14:paraId="4638E579">
            <w:pPr>
              <w:snapToGrid w:val="0"/>
              <w:spacing w:line="240" w:lineRule="exact"/>
              <w:jc w:val="center"/>
              <w:rPr>
                <w:color w:val="auto"/>
                <w:sz w:val="21"/>
                <w:szCs w:val="21"/>
              </w:rPr>
            </w:pPr>
            <w:r>
              <w:rPr>
                <w:rFonts w:hint="eastAsia"/>
                <w:color w:val="auto"/>
                <w:sz w:val="21"/>
                <w:szCs w:val="21"/>
              </w:rPr>
              <w:t>单位</w:t>
            </w:r>
          </w:p>
        </w:tc>
        <w:tc>
          <w:tcPr>
            <w:tcW w:w="453" w:type="pct"/>
            <w:vAlign w:val="center"/>
          </w:tcPr>
          <w:p w14:paraId="0FC82455">
            <w:pPr>
              <w:snapToGrid w:val="0"/>
              <w:spacing w:line="240" w:lineRule="exact"/>
              <w:jc w:val="center"/>
              <w:rPr>
                <w:color w:val="auto"/>
                <w:sz w:val="21"/>
                <w:szCs w:val="21"/>
              </w:rPr>
            </w:pPr>
            <w:r>
              <w:rPr>
                <w:rFonts w:hint="eastAsia"/>
                <w:color w:val="auto"/>
                <w:sz w:val="21"/>
                <w:szCs w:val="21"/>
              </w:rPr>
              <w:t>数量</w:t>
            </w:r>
          </w:p>
        </w:tc>
        <w:tc>
          <w:tcPr>
            <w:tcW w:w="1929" w:type="pct"/>
            <w:vAlign w:val="center"/>
          </w:tcPr>
          <w:p w14:paraId="0C268E66">
            <w:pPr>
              <w:snapToGrid w:val="0"/>
              <w:spacing w:line="240" w:lineRule="exact"/>
              <w:jc w:val="center"/>
              <w:rPr>
                <w:color w:val="auto"/>
                <w:sz w:val="21"/>
                <w:szCs w:val="21"/>
              </w:rPr>
            </w:pPr>
            <w:r>
              <w:rPr>
                <w:rFonts w:hint="eastAsia"/>
                <w:color w:val="auto"/>
                <w:sz w:val="21"/>
                <w:szCs w:val="21"/>
              </w:rPr>
              <w:t>备  注</w:t>
            </w:r>
          </w:p>
        </w:tc>
      </w:tr>
      <w:tr w14:paraId="46A5A19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0F8A14AD">
            <w:pPr>
              <w:snapToGrid w:val="0"/>
              <w:spacing w:line="240" w:lineRule="exact"/>
              <w:jc w:val="center"/>
              <w:rPr>
                <w:rFonts w:cs="宋体"/>
                <w:color w:val="auto"/>
                <w:sz w:val="21"/>
                <w:szCs w:val="21"/>
              </w:rPr>
            </w:pPr>
            <w:r>
              <w:rPr>
                <w:rFonts w:hint="eastAsia" w:cs="宋体"/>
                <w:color w:val="auto"/>
                <w:sz w:val="21"/>
                <w:szCs w:val="21"/>
              </w:rPr>
              <w:t>1</w:t>
            </w:r>
          </w:p>
        </w:tc>
        <w:tc>
          <w:tcPr>
            <w:tcW w:w="1807" w:type="pct"/>
            <w:vAlign w:val="center"/>
          </w:tcPr>
          <w:p w14:paraId="3F47E48C">
            <w:pPr>
              <w:widowControl/>
              <w:jc w:val="left"/>
              <w:textAlignment w:val="center"/>
              <w:rPr>
                <w:color w:val="auto"/>
                <w:sz w:val="21"/>
                <w:szCs w:val="21"/>
              </w:rPr>
            </w:pPr>
            <w:r>
              <w:rPr>
                <w:rFonts w:hint="eastAsia" w:ascii="宋体" w:hAnsi="宋体" w:cs="宋体"/>
                <w:color w:val="auto"/>
                <w:sz w:val="21"/>
                <w:szCs w:val="21"/>
                <w:lang w:bidi="ar"/>
              </w:rPr>
              <w:t>服务器设备机柜</w:t>
            </w:r>
          </w:p>
        </w:tc>
        <w:tc>
          <w:tcPr>
            <w:tcW w:w="392" w:type="pct"/>
            <w:vAlign w:val="center"/>
          </w:tcPr>
          <w:p w14:paraId="4417B570">
            <w:pPr>
              <w:widowControl/>
              <w:jc w:val="center"/>
              <w:textAlignment w:val="center"/>
              <w:rPr>
                <w:rFonts w:cs="Arial"/>
                <w:color w:val="auto"/>
                <w:sz w:val="21"/>
                <w:szCs w:val="21"/>
                <w:lang w:val="fr-FR"/>
              </w:rPr>
            </w:pPr>
            <w:r>
              <w:rPr>
                <w:rFonts w:hint="eastAsia" w:ascii="宋体" w:hAnsi="宋体" w:cs="宋体"/>
                <w:color w:val="auto"/>
                <w:sz w:val="21"/>
                <w:szCs w:val="21"/>
                <w:lang w:bidi="ar"/>
              </w:rPr>
              <w:t>架</w:t>
            </w:r>
          </w:p>
        </w:tc>
        <w:tc>
          <w:tcPr>
            <w:tcW w:w="453" w:type="pct"/>
            <w:vAlign w:val="center"/>
          </w:tcPr>
          <w:p w14:paraId="5C9856B6">
            <w:pPr>
              <w:widowControl/>
              <w:jc w:val="center"/>
              <w:textAlignment w:val="center"/>
              <w:rPr>
                <w:rFonts w:cs="宋体"/>
                <w:color w:val="auto"/>
                <w:sz w:val="21"/>
                <w:szCs w:val="21"/>
              </w:rPr>
            </w:pPr>
            <w:r>
              <w:rPr>
                <w:rFonts w:hint="eastAsia" w:ascii="宋体" w:hAnsi="宋体" w:cs="宋体"/>
                <w:color w:val="auto"/>
                <w:sz w:val="21"/>
                <w:szCs w:val="21"/>
                <w:lang w:bidi="ar"/>
              </w:rPr>
              <w:t>1</w:t>
            </w:r>
          </w:p>
        </w:tc>
        <w:tc>
          <w:tcPr>
            <w:tcW w:w="1929" w:type="pct"/>
            <w:vAlign w:val="center"/>
          </w:tcPr>
          <w:p w14:paraId="5B4379D4">
            <w:pPr>
              <w:snapToGrid w:val="0"/>
              <w:spacing w:line="240" w:lineRule="exact"/>
              <w:jc w:val="center"/>
              <w:rPr>
                <w:rFonts w:cs="宋体"/>
                <w:color w:val="auto"/>
                <w:sz w:val="21"/>
                <w:szCs w:val="21"/>
              </w:rPr>
            </w:pPr>
            <w:r>
              <w:rPr>
                <w:rFonts w:hint="eastAsia" w:cs="宋体"/>
                <w:color w:val="auto"/>
                <w:sz w:val="21"/>
                <w:szCs w:val="21"/>
              </w:rPr>
              <w:t>含机柜、底座、螺丝、托盘、理线架、配电单元等</w:t>
            </w:r>
          </w:p>
        </w:tc>
      </w:tr>
      <w:tr w14:paraId="59032EC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5B341290">
            <w:pPr>
              <w:snapToGrid w:val="0"/>
              <w:spacing w:line="240" w:lineRule="exact"/>
              <w:jc w:val="center"/>
              <w:rPr>
                <w:rFonts w:cs="宋体"/>
                <w:color w:val="auto"/>
                <w:sz w:val="21"/>
                <w:szCs w:val="21"/>
              </w:rPr>
            </w:pPr>
            <w:r>
              <w:rPr>
                <w:rFonts w:hint="eastAsia" w:cs="宋体"/>
                <w:color w:val="auto"/>
                <w:sz w:val="21"/>
                <w:szCs w:val="21"/>
              </w:rPr>
              <w:t>2</w:t>
            </w:r>
          </w:p>
        </w:tc>
        <w:tc>
          <w:tcPr>
            <w:tcW w:w="1807" w:type="pct"/>
            <w:vAlign w:val="center"/>
          </w:tcPr>
          <w:p w14:paraId="77B904D0">
            <w:pPr>
              <w:widowControl/>
              <w:jc w:val="left"/>
              <w:textAlignment w:val="center"/>
              <w:rPr>
                <w:color w:val="auto"/>
                <w:sz w:val="21"/>
                <w:szCs w:val="21"/>
              </w:rPr>
            </w:pPr>
            <w:r>
              <w:rPr>
                <w:rFonts w:hint="eastAsia" w:ascii="宋体" w:hAnsi="宋体" w:cs="宋体"/>
                <w:color w:val="auto"/>
                <w:sz w:val="21"/>
                <w:szCs w:val="21"/>
                <w:lang w:bidi="ar"/>
              </w:rPr>
              <w:t>无线列调对讲通信系统服务器(含录音服务器)</w:t>
            </w:r>
          </w:p>
        </w:tc>
        <w:tc>
          <w:tcPr>
            <w:tcW w:w="392" w:type="pct"/>
            <w:vAlign w:val="center"/>
          </w:tcPr>
          <w:p w14:paraId="0FFA8BFD">
            <w:pPr>
              <w:widowControl/>
              <w:jc w:val="center"/>
              <w:textAlignment w:val="center"/>
              <w:rPr>
                <w:rFonts w:cs="Arial"/>
                <w:color w:val="auto"/>
                <w:sz w:val="21"/>
                <w:szCs w:val="21"/>
                <w:lang w:val="fr-FR"/>
              </w:rPr>
            </w:pPr>
            <w:r>
              <w:rPr>
                <w:rFonts w:hint="eastAsia" w:ascii="宋体" w:hAnsi="宋体" w:cs="宋体"/>
                <w:color w:val="auto"/>
                <w:sz w:val="21"/>
                <w:szCs w:val="21"/>
                <w:lang w:bidi="ar"/>
              </w:rPr>
              <w:t>架</w:t>
            </w:r>
          </w:p>
        </w:tc>
        <w:tc>
          <w:tcPr>
            <w:tcW w:w="453" w:type="pct"/>
            <w:vAlign w:val="center"/>
          </w:tcPr>
          <w:p w14:paraId="19D91618">
            <w:pPr>
              <w:widowControl/>
              <w:jc w:val="center"/>
              <w:textAlignment w:val="center"/>
              <w:rPr>
                <w:rFonts w:cs="宋体"/>
                <w:color w:val="auto"/>
                <w:sz w:val="21"/>
                <w:szCs w:val="21"/>
              </w:rPr>
            </w:pPr>
            <w:r>
              <w:rPr>
                <w:rFonts w:hint="eastAsia" w:ascii="宋体" w:hAnsi="宋体" w:cs="宋体"/>
                <w:color w:val="auto"/>
                <w:sz w:val="21"/>
                <w:szCs w:val="21"/>
                <w:lang w:bidi="ar"/>
              </w:rPr>
              <w:t>1</w:t>
            </w:r>
          </w:p>
        </w:tc>
        <w:tc>
          <w:tcPr>
            <w:tcW w:w="1929" w:type="pct"/>
            <w:vAlign w:val="center"/>
          </w:tcPr>
          <w:p w14:paraId="38315E80">
            <w:pPr>
              <w:snapToGrid w:val="0"/>
              <w:spacing w:line="240" w:lineRule="exact"/>
              <w:jc w:val="center"/>
              <w:rPr>
                <w:rFonts w:cs="宋体"/>
                <w:color w:val="auto"/>
                <w:sz w:val="21"/>
                <w:szCs w:val="21"/>
              </w:rPr>
            </w:pPr>
            <w:r>
              <w:rPr>
                <w:rFonts w:hint="eastAsia" w:cs="宋体"/>
                <w:color w:val="auto"/>
                <w:sz w:val="21"/>
                <w:szCs w:val="21"/>
              </w:rPr>
              <w:t>含本设</w:t>
            </w:r>
            <w:r>
              <w:rPr>
                <w:rFonts w:cs="宋体"/>
                <w:color w:val="auto"/>
                <w:sz w:val="21"/>
                <w:szCs w:val="21"/>
              </w:rPr>
              <w:t>备</w:t>
            </w:r>
            <w:r>
              <w:rPr>
                <w:rFonts w:hint="eastAsia" w:cs="宋体"/>
                <w:color w:val="auto"/>
                <w:sz w:val="21"/>
                <w:szCs w:val="21"/>
              </w:rPr>
              <w:t>与所有相关设备</w:t>
            </w:r>
            <w:r>
              <w:rPr>
                <w:rFonts w:cs="宋体"/>
                <w:color w:val="auto"/>
                <w:sz w:val="21"/>
                <w:szCs w:val="21"/>
              </w:rPr>
              <w:t>之间</w:t>
            </w:r>
            <w:r>
              <w:rPr>
                <w:rFonts w:hint="eastAsia" w:cs="宋体"/>
                <w:color w:val="auto"/>
                <w:sz w:val="21"/>
                <w:szCs w:val="21"/>
              </w:rPr>
              <w:t>的</w:t>
            </w:r>
            <w:r>
              <w:rPr>
                <w:rFonts w:cs="宋体"/>
                <w:color w:val="auto"/>
                <w:sz w:val="21"/>
                <w:szCs w:val="21"/>
              </w:rPr>
              <w:t>电缆（</w:t>
            </w:r>
            <w:r>
              <w:rPr>
                <w:rFonts w:hint="eastAsia" w:cs="宋体"/>
                <w:color w:val="auto"/>
                <w:sz w:val="21"/>
                <w:szCs w:val="21"/>
              </w:rPr>
              <w:t>包括2M线及接头、RJ45</w:t>
            </w:r>
            <w:r>
              <w:rPr>
                <w:rFonts w:cs="宋体"/>
                <w:color w:val="auto"/>
                <w:sz w:val="21"/>
                <w:szCs w:val="21"/>
              </w:rPr>
              <w:t>电缆</w:t>
            </w:r>
            <w:r>
              <w:rPr>
                <w:rFonts w:hint="eastAsia" w:cs="宋体"/>
                <w:color w:val="auto"/>
                <w:sz w:val="21"/>
                <w:szCs w:val="21"/>
              </w:rPr>
              <w:t>及接头、跳线、尾纤等</w:t>
            </w:r>
            <w:r>
              <w:rPr>
                <w:rFonts w:cs="宋体"/>
                <w:color w:val="auto"/>
                <w:sz w:val="21"/>
                <w:szCs w:val="21"/>
              </w:rPr>
              <w:t>）</w:t>
            </w:r>
          </w:p>
        </w:tc>
      </w:tr>
      <w:tr w14:paraId="1905937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6A26D080">
            <w:pPr>
              <w:snapToGrid w:val="0"/>
              <w:spacing w:line="240" w:lineRule="exact"/>
              <w:jc w:val="center"/>
              <w:rPr>
                <w:rFonts w:cs="宋体"/>
                <w:color w:val="auto"/>
                <w:sz w:val="21"/>
                <w:szCs w:val="21"/>
              </w:rPr>
            </w:pPr>
            <w:r>
              <w:rPr>
                <w:rFonts w:hint="eastAsia" w:cs="宋体"/>
                <w:color w:val="auto"/>
                <w:sz w:val="21"/>
                <w:szCs w:val="21"/>
              </w:rPr>
              <w:t>3</w:t>
            </w:r>
          </w:p>
        </w:tc>
        <w:tc>
          <w:tcPr>
            <w:tcW w:w="1807" w:type="pct"/>
            <w:vAlign w:val="center"/>
          </w:tcPr>
          <w:p w14:paraId="6E19A586">
            <w:pPr>
              <w:widowControl/>
              <w:jc w:val="left"/>
              <w:textAlignment w:val="center"/>
              <w:rPr>
                <w:color w:val="auto"/>
                <w:sz w:val="21"/>
                <w:szCs w:val="21"/>
              </w:rPr>
            </w:pPr>
            <w:r>
              <w:rPr>
                <w:rFonts w:hint="eastAsia" w:ascii="宋体" w:hAnsi="宋体" w:cs="宋体"/>
                <w:color w:val="auto"/>
                <w:sz w:val="21"/>
                <w:szCs w:val="21"/>
                <w:lang w:bidi="ar"/>
              </w:rPr>
              <w:t>无线列调对讲通信网管系统(含网管终端)</w:t>
            </w:r>
          </w:p>
        </w:tc>
        <w:tc>
          <w:tcPr>
            <w:tcW w:w="392" w:type="pct"/>
            <w:vAlign w:val="center"/>
          </w:tcPr>
          <w:p w14:paraId="68EFFC84">
            <w:pPr>
              <w:widowControl/>
              <w:jc w:val="center"/>
              <w:textAlignment w:val="center"/>
              <w:rPr>
                <w:rFonts w:cs="Arial"/>
                <w:color w:val="auto"/>
                <w:sz w:val="21"/>
                <w:szCs w:val="21"/>
                <w:lang w:val="fr-FR"/>
              </w:rPr>
            </w:pPr>
            <w:r>
              <w:rPr>
                <w:rFonts w:hint="eastAsia" w:ascii="宋体" w:hAnsi="宋体" w:cs="宋体"/>
                <w:color w:val="auto"/>
                <w:sz w:val="21"/>
                <w:szCs w:val="21"/>
                <w:lang w:bidi="ar"/>
              </w:rPr>
              <w:t>系统</w:t>
            </w:r>
          </w:p>
        </w:tc>
        <w:tc>
          <w:tcPr>
            <w:tcW w:w="453" w:type="pct"/>
            <w:vAlign w:val="center"/>
          </w:tcPr>
          <w:p w14:paraId="59B73116">
            <w:pPr>
              <w:widowControl/>
              <w:jc w:val="center"/>
              <w:textAlignment w:val="center"/>
              <w:rPr>
                <w:rFonts w:cs="宋体"/>
                <w:color w:val="auto"/>
                <w:sz w:val="21"/>
                <w:szCs w:val="21"/>
              </w:rPr>
            </w:pPr>
            <w:r>
              <w:rPr>
                <w:rFonts w:hint="eastAsia" w:ascii="宋体" w:hAnsi="宋体" w:cs="宋体"/>
                <w:color w:val="auto"/>
                <w:sz w:val="21"/>
                <w:szCs w:val="21"/>
                <w:lang w:bidi="ar"/>
              </w:rPr>
              <w:t>1</w:t>
            </w:r>
          </w:p>
        </w:tc>
        <w:tc>
          <w:tcPr>
            <w:tcW w:w="1929" w:type="pct"/>
            <w:vAlign w:val="center"/>
          </w:tcPr>
          <w:p w14:paraId="63E310BA">
            <w:pPr>
              <w:snapToGrid w:val="0"/>
              <w:spacing w:line="240" w:lineRule="exact"/>
              <w:jc w:val="center"/>
              <w:rPr>
                <w:rFonts w:cs="宋体"/>
                <w:color w:val="auto"/>
                <w:sz w:val="21"/>
                <w:szCs w:val="21"/>
              </w:rPr>
            </w:pPr>
            <w:r>
              <w:rPr>
                <w:rFonts w:hint="eastAsia" w:cs="宋体"/>
                <w:color w:val="auto"/>
                <w:sz w:val="21"/>
                <w:szCs w:val="21"/>
              </w:rPr>
              <w:t>含操作软件、计算机及网络设备、打印机、桌椅、声光告警等</w:t>
            </w:r>
          </w:p>
        </w:tc>
      </w:tr>
      <w:tr w14:paraId="196C583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05F6817E">
            <w:pPr>
              <w:snapToGrid w:val="0"/>
              <w:spacing w:line="240" w:lineRule="exact"/>
              <w:jc w:val="center"/>
              <w:rPr>
                <w:rFonts w:cs="宋体"/>
                <w:color w:val="auto"/>
                <w:sz w:val="21"/>
                <w:szCs w:val="21"/>
              </w:rPr>
            </w:pPr>
            <w:r>
              <w:rPr>
                <w:rFonts w:hint="eastAsia" w:cs="宋体"/>
                <w:color w:val="auto"/>
                <w:sz w:val="21"/>
                <w:szCs w:val="21"/>
              </w:rPr>
              <w:t>4</w:t>
            </w:r>
          </w:p>
        </w:tc>
        <w:tc>
          <w:tcPr>
            <w:tcW w:w="1807" w:type="pct"/>
            <w:vAlign w:val="center"/>
          </w:tcPr>
          <w:p w14:paraId="5CD262AA">
            <w:pPr>
              <w:widowControl/>
              <w:jc w:val="left"/>
              <w:textAlignment w:val="center"/>
              <w:rPr>
                <w:color w:val="auto"/>
                <w:sz w:val="21"/>
                <w:szCs w:val="21"/>
              </w:rPr>
            </w:pPr>
            <w:r>
              <w:rPr>
                <w:rFonts w:hint="eastAsia" w:ascii="宋体" w:hAnsi="宋体" w:cs="宋体"/>
                <w:color w:val="auto"/>
                <w:sz w:val="21"/>
                <w:szCs w:val="21"/>
                <w:lang w:bidi="ar"/>
              </w:rPr>
              <w:t>无线列调对讲通信系统调度台</w:t>
            </w:r>
          </w:p>
        </w:tc>
        <w:tc>
          <w:tcPr>
            <w:tcW w:w="392" w:type="pct"/>
            <w:vAlign w:val="center"/>
          </w:tcPr>
          <w:p w14:paraId="0E1FEDD3">
            <w:pPr>
              <w:widowControl/>
              <w:jc w:val="center"/>
              <w:textAlignment w:val="center"/>
              <w:rPr>
                <w:rFonts w:cs="Arial"/>
                <w:color w:val="auto"/>
                <w:sz w:val="21"/>
                <w:szCs w:val="21"/>
                <w:lang w:val="fr-FR"/>
              </w:rPr>
            </w:pPr>
            <w:r>
              <w:rPr>
                <w:rFonts w:hint="eastAsia" w:ascii="宋体" w:hAnsi="宋体" w:cs="宋体"/>
                <w:color w:val="auto"/>
                <w:sz w:val="21"/>
                <w:szCs w:val="21"/>
                <w:lang w:bidi="ar"/>
              </w:rPr>
              <w:t>台</w:t>
            </w:r>
          </w:p>
        </w:tc>
        <w:tc>
          <w:tcPr>
            <w:tcW w:w="453" w:type="pct"/>
            <w:vAlign w:val="center"/>
          </w:tcPr>
          <w:p w14:paraId="79F377DD">
            <w:pPr>
              <w:widowControl/>
              <w:jc w:val="center"/>
              <w:textAlignment w:val="center"/>
              <w:rPr>
                <w:rFonts w:cs="宋体"/>
                <w:color w:val="auto"/>
                <w:sz w:val="21"/>
                <w:szCs w:val="21"/>
              </w:rPr>
            </w:pPr>
            <w:r>
              <w:rPr>
                <w:rFonts w:hint="eastAsia" w:ascii="宋体" w:hAnsi="宋体" w:cs="宋体"/>
                <w:color w:val="auto"/>
                <w:sz w:val="21"/>
                <w:szCs w:val="21"/>
                <w:lang w:bidi="ar"/>
              </w:rPr>
              <w:t>1</w:t>
            </w:r>
          </w:p>
        </w:tc>
        <w:tc>
          <w:tcPr>
            <w:tcW w:w="1929" w:type="pct"/>
            <w:vAlign w:val="center"/>
          </w:tcPr>
          <w:p w14:paraId="0C4A4CAE">
            <w:pPr>
              <w:snapToGrid w:val="0"/>
              <w:spacing w:line="240" w:lineRule="exact"/>
              <w:jc w:val="center"/>
              <w:rPr>
                <w:rFonts w:cs="宋体"/>
                <w:color w:val="auto"/>
                <w:sz w:val="21"/>
                <w:szCs w:val="21"/>
              </w:rPr>
            </w:pPr>
            <w:r>
              <w:rPr>
                <w:rFonts w:hint="eastAsia" w:cs="宋体"/>
                <w:color w:val="auto"/>
                <w:sz w:val="21"/>
                <w:szCs w:val="21"/>
              </w:rPr>
              <w:t>本设</w:t>
            </w:r>
            <w:r>
              <w:rPr>
                <w:rFonts w:cs="宋体"/>
                <w:color w:val="auto"/>
                <w:sz w:val="21"/>
                <w:szCs w:val="21"/>
              </w:rPr>
              <w:t>备</w:t>
            </w:r>
            <w:r>
              <w:rPr>
                <w:rFonts w:hint="eastAsia" w:cs="宋体"/>
                <w:color w:val="auto"/>
                <w:sz w:val="21"/>
                <w:szCs w:val="21"/>
              </w:rPr>
              <w:t>与所有相关设备</w:t>
            </w:r>
            <w:r>
              <w:rPr>
                <w:rFonts w:cs="宋体"/>
                <w:color w:val="auto"/>
                <w:sz w:val="21"/>
                <w:szCs w:val="21"/>
              </w:rPr>
              <w:t>之间</w:t>
            </w:r>
            <w:r>
              <w:rPr>
                <w:rFonts w:hint="eastAsia" w:cs="宋体"/>
                <w:color w:val="auto"/>
                <w:sz w:val="21"/>
                <w:szCs w:val="21"/>
              </w:rPr>
              <w:t>的</w:t>
            </w:r>
            <w:r>
              <w:rPr>
                <w:rFonts w:cs="宋体"/>
                <w:color w:val="auto"/>
                <w:sz w:val="21"/>
                <w:szCs w:val="21"/>
              </w:rPr>
              <w:t>电缆（</w:t>
            </w:r>
            <w:r>
              <w:rPr>
                <w:rFonts w:hint="eastAsia" w:cs="宋体"/>
                <w:color w:val="auto"/>
                <w:sz w:val="21"/>
                <w:szCs w:val="21"/>
              </w:rPr>
              <w:t>包括2M线及接头、RJ45</w:t>
            </w:r>
            <w:r>
              <w:rPr>
                <w:rFonts w:cs="宋体"/>
                <w:color w:val="auto"/>
                <w:sz w:val="21"/>
                <w:szCs w:val="21"/>
              </w:rPr>
              <w:t>电缆</w:t>
            </w:r>
            <w:r>
              <w:rPr>
                <w:rFonts w:hint="eastAsia" w:cs="宋体"/>
                <w:color w:val="auto"/>
                <w:sz w:val="21"/>
                <w:szCs w:val="21"/>
              </w:rPr>
              <w:t>及接头、跳线、尾纤等</w:t>
            </w:r>
            <w:r>
              <w:rPr>
                <w:rFonts w:cs="宋体"/>
                <w:color w:val="auto"/>
                <w:sz w:val="21"/>
                <w:szCs w:val="21"/>
              </w:rPr>
              <w:t>）</w:t>
            </w:r>
          </w:p>
        </w:tc>
      </w:tr>
      <w:tr w14:paraId="70FAE60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6C805DB6">
            <w:pPr>
              <w:snapToGrid w:val="0"/>
              <w:spacing w:line="240" w:lineRule="exact"/>
              <w:jc w:val="center"/>
              <w:rPr>
                <w:rFonts w:cs="宋体"/>
                <w:color w:val="auto"/>
                <w:sz w:val="21"/>
                <w:szCs w:val="21"/>
              </w:rPr>
            </w:pPr>
            <w:r>
              <w:rPr>
                <w:rFonts w:hint="eastAsia" w:cs="宋体"/>
                <w:color w:val="auto"/>
                <w:sz w:val="21"/>
                <w:szCs w:val="21"/>
              </w:rPr>
              <w:t>5</w:t>
            </w:r>
          </w:p>
        </w:tc>
        <w:tc>
          <w:tcPr>
            <w:tcW w:w="1807" w:type="pct"/>
            <w:vAlign w:val="center"/>
          </w:tcPr>
          <w:p w14:paraId="1398105F">
            <w:pPr>
              <w:widowControl/>
              <w:jc w:val="left"/>
              <w:textAlignment w:val="center"/>
              <w:rPr>
                <w:color w:val="auto"/>
                <w:sz w:val="21"/>
                <w:szCs w:val="21"/>
              </w:rPr>
            </w:pPr>
            <w:r>
              <w:rPr>
                <w:rFonts w:hint="eastAsia" w:ascii="宋体" w:hAnsi="宋体" w:cs="宋体"/>
                <w:color w:val="auto"/>
                <w:sz w:val="21"/>
                <w:szCs w:val="21"/>
                <w:lang w:bidi="ar"/>
              </w:rPr>
              <w:t>网络交换机(24☐、百兆)</w:t>
            </w:r>
          </w:p>
        </w:tc>
        <w:tc>
          <w:tcPr>
            <w:tcW w:w="392" w:type="pct"/>
            <w:vAlign w:val="center"/>
          </w:tcPr>
          <w:p w14:paraId="4BB8CCBA">
            <w:pPr>
              <w:widowControl/>
              <w:jc w:val="center"/>
              <w:textAlignment w:val="center"/>
              <w:rPr>
                <w:rFonts w:cs="Arial"/>
                <w:color w:val="auto"/>
                <w:sz w:val="21"/>
                <w:szCs w:val="21"/>
                <w:lang w:val="fr-FR"/>
              </w:rPr>
            </w:pPr>
            <w:r>
              <w:rPr>
                <w:rFonts w:hint="eastAsia" w:ascii="宋体" w:hAnsi="宋体" w:cs="宋体"/>
                <w:color w:val="auto"/>
                <w:sz w:val="21"/>
                <w:szCs w:val="21"/>
                <w:lang w:bidi="ar"/>
              </w:rPr>
              <w:t>台</w:t>
            </w:r>
          </w:p>
        </w:tc>
        <w:tc>
          <w:tcPr>
            <w:tcW w:w="453" w:type="pct"/>
            <w:vAlign w:val="center"/>
          </w:tcPr>
          <w:p w14:paraId="0B92C89A">
            <w:pPr>
              <w:widowControl/>
              <w:jc w:val="center"/>
              <w:textAlignment w:val="center"/>
              <w:rPr>
                <w:rFonts w:cs="宋体"/>
                <w:color w:val="auto"/>
                <w:sz w:val="21"/>
                <w:szCs w:val="21"/>
              </w:rPr>
            </w:pPr>
            <w:r>
              <w:rPr>
                <w:rFonts w:hint="eastAsia" w:ascii="宋体" w:hAnsi="宋体" w:cs="宋体"/>
                <w:color w:val="auto"/>
                <w:sz w:val="21"/>
                <w:szCs w:val="21"/>
                <w:lang w:bidi="ar"/>
              </w:rPr>
              <w:t>1</w:t>
            </w:r>
          </w:p>
        </w:tc>
        <w:tc>
          <w:tcPr>
            <w:tcW w:w="1929" w:type="pct"/>
            <w:vAlign w:val="center"/>
          </w:tcPr>
          <w:p w14:paraId="192664EF">
            <w:pPr>
              <w:snapToGrid w:val="0"/>
              <w:spacing w:line="240" w:lineRule="exact"/>
              <w:jc w:val="center"/>
              <w:rPr>
                <w:rFonts w:cs="宋体"/>
                <w:color w:val="auto"/>
                <w:sz w:val="21"/>
                <w:szCs w:val="21"/>
              </w:rPr>
            </w:pPr>
            <w:r>
              <w:rPr>
                <w:rFonts w:hint="eastAsia" w:cs="宋体"/>
                <w:color w:val="auto"/>
                <w:sz w:val="21"/>
                <w:szCs w:val="21"/>
              </w:rPr>
              <w:t>本设</w:t>
            </w:r>
            <w:r>
              <w:rPr>
                <w:rFonts w:cs="宋体"/>
                <w:color w:val="auto"/>
                <w:sz w:val="21"/>
                <w:szCs w:val="21"/>
              </w:rPr>
              <w:t>备</w:t>
            </w:r>
            <w:r>
              <w:rPr>
                <w:rFonts w:hint="eastAsia" w:cs="宋体"/>
                <w:color w:val="auto"/>
                <w:sz w:val="21"/>
                <w:szCs w:val="21"/>
              </w:rPr>
              <w:t>与所有相关设备</w:t>
            </w:r>
            <w:r>
              <w:rPr>
                <w:rFonts w:cs="宋体"/>
                <w:color w:val="auto"/>
                <w:sz w:val="21"/>
                <w:szCs w:val="21"/>
              </w:rPr>
              <w:t>之间</w:t>
            </w:r>
            <w:r>
              <w:rPr>
                <w:rFonts w:hint="eastAsia" w:cs="宋体"/>
                <w:color w:val="auto"/>
                <w:sz w:val="21"/>
                <w:szCs w:val="21"/>
              </w:rPr>
              <w:t>的</w:t>
            </w:r>
            <w:r>
              <w:rPr>
                <w:rFonts w:cs="宋体"/>
                <w:color w:val="auto"/>
                <w:sz w:val="21"/>
                <w:szCs w:val="21"/>
              </w:rPr>
              <w:t>电缆（</w:t>
            </w:r>
            <w:r>
              <w:rPr>
                <w:rFonts w:hint="eastAsia" w:cs="宋体"/>
                <w:color w:val="auto"/>
                <w:sz w:val="21"/>
                <w:szCs w:val="21"/>
              </w:rPr>
              <w:t>包括2M线及接头、RJ45</w:t>
            </w:r>
            <w:r>
              <w:rPr>
                <w:rFonts w:cs="宋体"/>
                <w:color w:val="auto"/>
                <w:sz w:val="21"/>
                <w:szCs w:val="21"/>
              </w:rPr>
              <w:t>电缆</w:t>
            </w:r>
            <w:r>
              <w:rPr>
                <w:rFonts w:hint="eastAsia" w:cs="宋体"/>
                <w:color w:val="auto"/>
                <w:sz w:val="21"/>
                <w:szCs w:val="21"/>
              </w:rPr>
              <w:t>及接头、跳线、尾纤等</w:t>
            </w:r>
            <w:r>
              <w:rPr>
                <w:rFonts w:cs="宋体"/>
                <w:color w:val="auto"/>
                <w:sz w:val="21"/>
                <w:szCs w:val="21"/>
              </w:rPr>
              <w:t>）</w:t>
            </w:r>
          </w:p>
        </w:tc>
      </w:tr>
      <w:tr w14:paraId="4287EB6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6456DBFA">
            <w:pPr>
              <w:snapToGrid w:val="0"/>
              <w:spacing w:line="240" w:lineRule="exact"/>
              <w:jc w:val="center"/>
              <w:rPr>
                <w:rFonts w:cs="宋体"/>
                <w:color w:val="auto"/>
                <w:sz w:val="21"/>
                <w:szCs w:val="21"/>
              </w:rPr>
            </w:pPr>
            <w:r>
              <w:rPr>
                <w:rFonts w:hint="eastAsia" w:cs="宋体"/>
                <w:color w:val="auto"/>
                <w:sz w:val="21"/>
                <w:szCs w:val="21"/>
              </w:rPr>
              <w:t>6</w:t>
            </w:r>
          </w:p>
        </w:tc>
        <w:tc>
          <w:tcPr>
            <w:tcW w:w="1807" w:type="pct"/>
            <w:vAlign w:val="center"/>
          </w:tcPr>
          <w:p w14:paraId="7341EC65">
            <w:pPr>
              <w:widowControl/>
              <w:jc w:val="left"/>
              <w:textAlignment w:val="center"/>
              <w:rPr>
                <w:color w:val="auto"/>
                <w:sz w:val="21"/>
                <w:szCs w:val="21"/>
              </w:rPr>
            </w:pPr>
            <w:r>
              <w:rPr>
                <w:rFonts w:hint="eastAsia" w:ascii="宋体" w:hAnsi="宋体" w:cs="宋体"/>
                <w:color w:val="auto"/>
                <w:sz w:val="21"/>
                <w:szCs w:val="21"/>
                <w:lang w:bidi="ar"/>
              </w:rPr>
              <w:t>车站设备机柜</w:t>
            </w:r>
          </w:p>
        </w:tc>
        <w:tc>
          <w:tcPr>
            <w:tcW w:w="392" w:type="pct"/>
            <w:vAlign w:val="center"/>
          </w:tcPr>
          <w:p w14:paraId="4316D215">
            <w:pPr>
              <w:widowControl/>
              <w:jc w:val="center"/>
              <w:textAlignment w:val="center"/>
              <w:rPr>
                <w:rFonts w:cs="Arial"/>
                <w:color w:val="auto"/>
                <w:sz w:val="21"/>
                <w:szCs w:val="21"/>
                <w:lang w:val="fr-FR"/>
              </w:rPr>
            </w:pPr>
            <w:r>
              <w:rPr>
                <w:rFonts w:hint="eastAsia" w:ascii="宋体" w:hAnsi="宋体" w:cs="宋体"/>
                <w:color w:val="auto"/>
                <w:sz w:val="21"/>
                <w:szCs w:val="21"/>
                <w:lang w:bidi="ar"/>
              </w:rPr>
              <w:t>架</w:t>
            </w:r>
          </w:p>
        </w:tc>
        <w:tc>
          <w:tcPr>
            <w:tcW w:w="453" w:type="pct"/>
            <w:vAlign w:val="center"/>
          </w:tcPr>
          <w:p w14:paraId="5D863EFA">
            <w:pPr>
              <w:widowControl/>
              <w:jc w:val="center"/>
              <w:textAlignment w:val="center"/>
              <w:rPr>
                <w:rFonts w:cs="宋体"/>
                <w:color w:val="auto"/>
                <w:sz w:val="21"/>
                <w:szCs w:val="21"/>
              </w:rPr>
            </w:pPr>
            <w:r>
              <w:rPr>
                <w:rFonts w:hint="eastAsia" w:ascii="宋体" w:hAnsi="宋体" w:cs="宋体"/>
                <w:color w:val="auto"/>
                <w:sz w:val="21"/>
                <w:szCs w:val="21"/>
                <w:lang w:bidi="ar"/>
              </w:rPr>
              <w:t>3</w:t>
            </w:r>
          </w:p>
        </w:tc>
        <w:tc>
          <w:tcPr>
            <w:tcW w:w="1929" w:type="pct"/>
            <w:vAlign w:val="center"/>
          </w:tcPr>
          <w:p w14:paraId="022AE460">
            <w:pPr>
              <w:snapToGrid w:val="0"/>
              <w:spacing w:line="240" w:lineRule="exact"/>
              <w:jc w:val="center"/>
              <w:rPr>
                <w:rFonts w:cs="宋体"/>
                <w:color w:val="auto"/>
                <w:sz w:val="21"/>
                <w:szCs w:val="21"/>
              </w:rPr>
            </w:pPr>
            <w:r>
              <w:rPr>
                <w:rFonts w:hint="eastAsia" w:cs="宋体"/>
                <w:color w:val="auto"/>
                <w:sz w:val="21"/>
                <w:szCs w:val="21"/>
              </w:rPr>
              <w:t>含机柜、底座、螺丝、托盘、理线架、配电单元等</w:t>
            </w:r>
          </w:p>
        </w:tc>
      </w:tr>
      <w:tr w14:paraId="46E173E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735E8E8E">
            <w:pPr>
              <w:snapToGrid w:val="0"/>
              <w:spacing w:line="240" w:lineRule="exact"/>
              <w:jc w:val="center"/>
              <w:rPr>
                <w:rFonts w:cs="宋体"/>
                <w:color w:val="auto"/>
                <w:sz w:val="21"/>
                <w:szCs w:val="21"/>
              </w:rPr>
            </w:pPr>
            <w:r>
              <w:rPr>
                <w:rFonts w:hint="eastAsia" w:cs="宋体"/>
                <w:color w:val="auto"/>
                <w:sz w:val="21"/>
                <w:szCs w:val="21"/>
              </w:rPr>
              <w:t>7</w:t>
            </w:r>
          </w:p>
        </w:tc>
        <w:tc>
          <w:tcPr>
            <w:tcW w:w="1807" w:type="pct"/>
            <w:vAlign w:val="center"/>
          </w:tcPr>
          <w:p w14:paraId="0D8FE103">
            <w:pPr>
              <w:widowControl/>
              <w:jc w:val="left"/>
              <w:textAlignment w:val="center"/>
              <w:rPr>
                <w:color w:val="auto"/>
                <w:sz w:val="21"/>
                <w:szCs w:val="21"/>
              </w:rPr>
            </w:pPr>
            <w:r>
              <w:rPr>
                <w:rFonts w:hint="eastAsia" w:ascii="宋体" w:hAnsi="宋体" w:cs="宋体"/>
                <w:color w:val="auto"/>
                <w:sz w:val="21"/>
                <w:szCs w:val="21"/>
                <w:lang w:bidi="ar"/>
              </w:rPr>
              <w:t>车站无线列调对讲信道机设备</w:t>
            </w:r>
          </w:p>
        </w:tc>
        <w:tc>
          <w:tcPr>
            <w:tcW w:w="392" w:type="pct"/>
            <w:vAlign w:val="center"/>
          </w:tcPr>
          <w:p w14:paraId="63B7FAA4">
            <w:pPr>
              <w:widowControl/>
              <w:jc w:val="center"/>
              <w:textAlignment w:val="center"/>
              <w:rPr>
                <w:rFonts w:cs="Arial"/>
                <w:color w:val="auto"/>
                <w:sz w:val="21"/>
                <w:szCs w:val="21"/>
                <w:lang w:val="fr-FR"/>
              </w:rPr>
            </w:pPr>
            <w:r>
              <w:rPr>
                <w:rFonts w:hint="eastAsia" w:ascii="宋体" w:hAnsi="宋体" w:cs="宋体"/>
                <w:color w:val="auto"/>
                <w:sz w:val="21"/>
                <w:szCs w:val="21"/>
                <w:lang w:bidi="ar"/>
              </w:rPr>
              <w:t>套</w:t>
            </w:r>
          </w:p>
        </w:tc>
        <w:tc>
          <w:tcPr>
            <w:tcW w:w="453" w:type="pct"/>
            <w:vAlign w:val="center"/>
          </w:tcPr>
          <w:p w14:paraId="24175B84">
            <w:pPr>
              <w:widowControl/>
              <w:jc w:val="center"/>
              <w:textAlignment w:val="center"/>
              <w:rPr>
                <w:rFonts w:cs="宋体"/>
                <w:color w:val="auto"/>
                <w:sz w:val="21"/>
                <w:szCs w:val="21"/>
              </w:rPr>
            </w:pPr>
            <w:r>
              <w:rPr>
                <w:rFonts w:hint="eastAsia" w:ascii="宋体" w:hAnsi="宋体" w:cs="宋体"/>
                <w:color w:val="auto"/>
                <w:sz w:val="21"/>
                <w:szCs w:val="21"/>
                <w:lang w:bidi="ar"/>
              </w:rPr>
              <w:t>3</w:t>
            </w:r>
          </w:p>
        </w:tc>
        <w:tc>
          <w:tcPr>
            <w:tcW w:w="1929" w:type="pct"/>
            <w:vAlign w:val="center"/>
          </w:tcPr>
          <w:p w14:paraId="2F1EAD0C">
            <w:pPr>
              <w:snapToGrid w:val="0"/>
              <w:spacing w:line="240" w:lineRule="exact"/>
              <w:jc w:val="center"/>
              <w:rPr>
                <w:rFonts w:cs="宋体"/>
                <w:color w:val="auto"/>
                <w:sz w:val="21"/>
                <w:szCs w:val="21"/>
              </w:rPr>
            </w:pPr>
          </w:p>
        </w:tc>
      </w:tr>
      <w:tr w14:paraId="6F738CE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484" w:hRule="atLeast"/>
          <w:jc w:val="center"/>
        </w:trPr>
        <w:tc>
          <w:tcPr>
            <w:tcW w:w="417" w:type="pct"/>
            <w:vAlign w:val="center"/>
          </w:tcPr>
          <w:p w14:paraId="52278CBA">
            <w:pPr>
              <w:snapToGrid w:val="0"/>
              <w:spacing w:line="240" w:lineRule="exact"/>
              <w:jc w:val="center"/>
              <w:rPr>
                <w:rFonts w:cs="宋体"/>
                <w:color w:val="auto"/>
                <w:sz w:val="21"/>
                <w:szCs w:val="21"/>
              </w:rPr>
            </w:pPr>
            <w:r>
              <w:rPr>
                <w:rFonts w:hint="eastAsia" w:cs="宋体"/>
                <w:color w:val="auto"/>
                <w:sz w:val="21"/>
                <w:szCs w:val="21"/>
              </w:rPr>
              <w:t>8</w:t>
            </w:r>
          </w:p>
        </w:tc>
        <w:tc>
          <w:tcPr>
            <w:tcW w:w="1807" w:type="pct"/>
            <w:vAlign w:val="center"/>
          </w:tcPr>
          <w:p w14:paraId="524E9D6D">
            <w:pPr>
              <w:widowControl/>
              <w:jc w:val="left"/>
              <w:textAlignment w:val="center"/>
              <w:rPr>
                <w:color w:val="auto"/>
                <w:sz w:val="21"/>
                <w:szCs w:val="21"/>
              </w:rPr>
            </w:pPr>
            <w:r>
              <w:rPr>
                <w:rFonts w:hint="eastAsia" w:ascii="宋体" w:hAnsi="宋体" w:cs="宋体"/>
                <w:color w:val="auto"/>
                <w:sz w:val="21"/>
                <w:szCs w:val="21"/>
                <w:lang w:bidi="ar"/>
              </w:rPr>
              <w:t>沿线施工防护信道机设备</w:t>
            </w:r>
          </w:p>
        </w:tc>
        <w:tc>
          <w:tcPr>
            <w:tcW w:w="392" w:type="pct"/>
            <w:vAlign w:val="center"/>
          </w:tcPr>
          <w:p w14:paraId="2CFA40FB">
            <w:pPr>
              <w:widowControl/>
              <w:jc w:val="center"/>
              <w:textAlignment w:val="center"/>
              <w:rPr>
                <w:rFonts w:cs="Arial"/>
                <w:color w:val="auto"/>
                <w:sz w:val="21"/>
                <w:szCs w:val="21"/>
                <w:lang w:val="fr-FR"/>
              </w:rPr>
            </w:pPr>
            <w:r>
              <w:rPr>
                <w:rFonts w:hint="eastAsia" w:ascii="宋体" w:hAnsi="宋体" w:cs="宋体"/>
                <w:color w:val="auto"/>
                <w:sz w:val="21"/>
                <w:szCs w:val="21"/>
                <w:lang w:bidi="ar"/>
              </w:rPr>
              <w:t>套</w:t>
            </w:r>
          </w:p>
        </w:tc>
        <w:tc>
          <w:tcPr>
            <w:tcW w:w="453" w:type="pct"/>
            <w:vAlign w:val="center"/>
          </w:tcPr>
          <w:p w14:paraId="179BA39E">
            <w:pPr>
              <w:widowControl/>
              <w:jc w:val="center"/>
              <w:textAlignment w:val="center"/>
              <w:rPr>
                <w:rFonts w:cs="宋体"/>
                <w:color w:val="auto"/>
                <w:sz w:val="21"/>
                <w:szCs w:val="21"/>
              </w:rPr>
            </w:pPr>
            <w:r>
              <w:rPr>
                <w:rFonts w:hint="eastAsia" w:ascii="宋体" w:hAnsi="宋体" w:cs="宋体"/>
                <w:color w:val="auto"/>
                <w:sz w:val="21"/>
                <w:szCs w:val="21"/>
                <w:lang w:bidi="ar"/>
              </w:rPr>
              <w:t>3</w:t>
            </w:r>
          </w:p>
        </w:tc>
        <w:tc>
          <w:tcPr>
            <w:tcW w:w="1929" w:type="pct"/>
            <w:vAlign w:val="center"/>
          </w:tcPr>
          <w:p w14:paraId="48E0B459">
            <w:pPr>
              <w:snapToGrid w:val="0"/>
              <w:spacing w:line="240" w:lineRule="exact"/>
              <w:jc w:val="center"/>
              <w:rPr>
                <w:rFonts w:cs="宋体"/>
                <w:color w:val="auto"/>
                <w:sz w:val="21"/>
                <w:szCs w:val="21"/>
              </w:rPr>
            </w:pPr>
          </w:p>
        </w:tc>
      </w:tr>
      <w:tr w14:paraId="652048E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3EF15A34">
            <w:pPr>
              <w:snapToGrid w:val="0"/>
              <w:spacing w:line="240" w:lineRule="exact"/>
              <w:jc w:val="center"/>
              <w:rPr>
                <w:rFonts w:cs="宋体"/>
                <w:color w:val="auto"/>
                <w:sz w:val="21"/>
                <w:szCs w:val="21"/>
              </w:rPr>
            </w:pPr>
            <w:r>
              <w:rPr>
                <w:rFonts w:hint="eastAsia" w:cs="宋体"/>
                <w:color w:val="auto"/>
                <w:sz w:val="21"/>
                <w:szCs w:val="21"/>
              </w:rPr>
              <w:t>9</w:t>
            </w:r>
          </w:p>
        </w:tc>
        <w:tc>
          <w:tcPr>
            <w:tcW w:w="1807" w:type="pct"/>
            <w:vAlign w:val="center"/>
          </w:tcPr>
          <w:p w14:paraId="4C1E401A">
            <w:pPr>
              <w:widowControl/>
              <w:jc w:val="left"/>
              <w:textAlignment w:val="center"/>
              <w:rPr>
                <w:color w:val="auto"/>
                <w:sz w:val="21"/>
                <w:szCs w:val="21"/>
              </w:rPr>
            </w:pPr>
            <w:r>
              <w:rPr>
                <w:rFonts w:hint="eastAsia" w:ascii="宋体" w:hAnsi="宋体" w:cs="宋体"/>
                <w:color w:val="auto"/>
                <w:sz w:val="21"/>
                <w:szCs w:val="21"/>
                <w:lang w:bidi="ar"/>
              </w:rPr>
              <w:t>车站值班台</w:t>
            </w:r>
          </w:p>
        </w:tc>
        <w:tc>
          <w:tcPr>
            <w:tcW w:w="392" w:type="pct"/>
            <w:vAlign w:val="center"/>
          </w:tcPr>
          <w:p w14:paraId="3F8DFCAA">
            <w:pPr>
              <w:widowControl/>
              <w:jc w:val="center"/>
              <w:textAlignment w:val="center"/>
              <w:rPr>
                <w:rFonts w:cs="Arial"/>
                <w:color w:val="auto"/>
                <w:sz w:val="21"/>
                <w:szCs w:val="21"/>
                <w:lang w:val="fr-FR"/>
              </w:rPr>
            </w:pPr>
            <w:r>
              <w:rPr>
                <w:rFonts w:hint="eastAsia" w:ascii="宋体" w:hAnsi="宋体" w:cs="宋体"/>
                <w:color w:val="auto"/>
                <w:sz w:val="21"/>
                <w:szCs w:val="21"/>
                <w:lang w:bidi="ar"/>
              </w:rPr>
              <w:t>台</w:t>
            </w:r>
          </w:p>
        </w:tc>
        <w:tc>
          <w:tcPr>
            <w:tcW w:w="453" w:type="pct"/>
            <w:vAlign w:val="center"/>
          </w:tcPr>
          <w:p w14:paraId="4522C9B8">
            <w:pPr>
              <w:widowControl/>
              <w:jc w:val="center"/>
              <w:textAlignment w:val="center"/>
              <w:rPr>
                <w:rFonts w:cs="宋体"/>
                <w:color w:val="auto"/>
                <w:sz w:val="21"/>
                <w:szCs w:val="21"/>
              </w:rPr>
            </w:pPr>
            <w:r>
              <w:rPr>
                <w:rFonts w:hint="eastAsia" w:ascii="宋体" w:hAnsi="宋体" w:cs="宋体"/>
                <w:color w:val="auto"/>
                <w:sz w:val="21"/>
                <w:szCs w:val="21"/>
                <w:lang w:bidi="ar"/>
              </w:rPr>
              <w:t>3</w:t>
            </w:r>
          </w:p>
        </w:tc>
        <w:tc>
          <w:tcPr>
            <w:tcW w:w="1929" w:type="pct"/>
            <w:vAlign w:val="center"/>
          </w:tcPr>
          <w:p w14:paraId="62A16804">
            <w:pPr>
              <w:snapToGrid w:val="0"/>
              <w:spacing w:line="240" w:lineRule="exact"/>
              <w:jc w:val="center"/>
              <w:rPr>
                <w:rFonts w:cs="宋体"/>
                <w:color w:val="auto"/>
                <w:sz w:val="21"/>
                <w:szCs w:val="21"/>
              </w:rPr>
            </w:pPr>
          </w:p>
        </w:tc>
      </w:tr>
      <w:tr w14:paraId="4EDD5E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229AA662">
            <w:pPr>
              <w:snapToGrid w:val="0"/>
              <w:spacing w:line="240" w:lineRule="exact"/>
              <w:jc w:val="center"/>
              <w:rPr>
                <w:rFonts w:cs="宋体"/>
                <w:color w:val="auto"/>
                <w:sz w:val="21"/>
                <w:szCs w:val="21"/>
              </w:rPr>
            </w:pPr>
            <w:r>
              <w:rPr>
                <w:rFonts w:hint="eastAsia" w:cs="宋体"/>
                <w:color w:val="auto"/>
                <w:sz w:val="21"/>
                <w:szCs w:val="21"/>
              </w:rPr>
              <w:t>10</w:t>
            </w:r>
          </w:p>
        </w:tc>
        <w:tc>
          <w:tcPr>
            <w:tcW w:w="1807" w:type="pct"/>
            <w:vAlign w:val="center"/>
          </w:tcPr>
          <w:p w14:paraId="21EDC1DD">
            <w:pPr>
              <w:widowControl/>
              <w:jc w:val="left"/>
              <w:textAlignment w:val="center"/>
              <w:rPr>
                <w:color w:val="auto"/>
                <w:sz w:val="21"/>
                <w:szCs w:val="21"/>
              </w:rPr>
            </w:pPr>
            <w:r>
              <w:rPr>
                <w:rFonts w:hint="eastAsia" w:ascii="宋体" w:hAnsi="宋体" w:cs="宋体"/>
                <w:color w:val="auto"/>
                <w:sz w:val="21"/>
                <w:szCs w:val="21"/>
                <w:lang w:bidi="ar"/>
              </w:rPr>
              <w:t>网络交换机(16</w:t>
            </w:r>
            <w:r>
              <w:rPr>
                <w:rStyle w:val="9"/>
                <w:rFonts w:hint="default"/>
                <w:color w:val="auto"/>
                <w:lang w:bidi="ar"/>
              </w:rPr>
              <w:t>☐</w:t>
            </w:r>
            <w:r>
              <w:rPr>
                <w:rFonts w:hint="eastAsia" w:ascii="宋体" w:hAnsi="宋体" w:cs="宋体"/>
                <w:color w:val="auto"/>
                <w:sz w:val="21"/>
                <w:szCs w:val="21"/>
                <w:lang w:bidi="ar"/>
              </w:rPr>
              <w:t>、百兆)</w:t>
            </w:r>
          </w:p>
        </w:tc>
        <w:tc>
          <w:tcPr>
            <w:tcW w:w="392" w:type="pct"/>
            <w:vAlign w:val="center"/>
          </w:tcPr>
          <w:p w14:paraId="393300F8">
            <w:pPr>
              <w:widowControl/>
              <w:jc w:val="center"/>
              <w:textAlignment w:val="center"/>
              <w:rPr>
                <w:rFonts w:cs="Arial"/>
                <w:color w:val="auto"/>
                <w:sz w:val="21"/>
                <w:szCs w:val="21"/>
                <w:lang w:val="fr-FR"/>
              </w:rPr>
            </w:pPr>
            <w:r>
              <w:rPr>
                <w:rFonts w:hint="eastAsia" w:ascii="宋体" w:hAnsi="宋体" w:cs="宋体"/>
                <w:color w:val="auto"/>
                <w:sz w:val="21"/>
                <w:szCs w:val="21"/>
                <w:lang w:bidi="ar"/>
              </w:rPr>
              <w:t>台</w:t>
            </w:r>
          </w:p>
        </w:tc>
        <w:tc>
          <w:tcPr>
            <w:tcW w:w="453" w:type="pct"/>
            <w:vAlign w:val="center"/>
          </w:tcPr>
          <w:p w14:paraId="74B90115">
            <w:pPr>
              <w:widowControl/>
              <w:jc w:val="center"/>
              <w:textAlignment w:val="center"/>
              <w:rPr>
                <w:rFonts w:cs="宋体"/>
                <w:color w:val="auto"/>
                <w:sz w:val="21"/>
                <w:szCs w:val="21"/>
              </w:rPr>
            </w:pPr>
            <w:r>
              <w:rPr>
                <w:rFonts w:hint="eastAsia" w:ascii="宋体" w:hAnsi="宋体" w:cs="宋体"/>
                <w:color w:val="auto"/>
                <w:sz w:val="21"/>
                <w:szCs w:val="21"/>
                <w:lang w:bidi="ar"/>
              </w:rPr>
              <w:t>2</w:t>
            </w:r>
          </w:p>
        </w:tc>
        <w:tc>
          <w:tcPr>
            <w:tcW w:w="1929" w:type="pct"/>
            <w:vAlign w:val="center"/>
          </w:tcPr>
          <w:p w14:paraId="786B7E68">
            <w:pPr>
              <w:snapToGrid w:val="0"/>
              <w:spacing w:line="240" w:lineRule="exact"/>
              <w:jc w:val="center"/>
              <w:rPr>
                <w:rFonts w:cs="宋体"/>
                <w:color w:val="auto"/>
                <w:sz w:val="21"/>
                <w:szCs w:val="21"/>
              </w:rPr>
            </w:pPr>
          </w:p>
        </w:tc>
      </w:tr>
      <w:tr w14:paraId="6B6B0C5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1D861FA4">
            <w:pPr>
              <w:snapToGrid w:val="0"/>
              <w:spacing w:line="240" w:lineRule="exact"/>
              <w:jc w:val="center"/>
              <w:rPr>
                <w:rFonts w:cs="宋体"/>
                <w:color w:val="auto"/>
                <w:sz w:val="21"/>
                <w:szCs w:val="21"/>
              </w:rPr>
            </w:pPr>
            <w:r>
              <w:rPr>
                <w:rFonts w:hint="eastAsia" w:cs="宋体"/>
                <w:color w:val="auto"/>
                <w:sz w:val="21"/>
                <w:szCs w:val="21"/>
              </w:rPr>
              <w:t>11</w:t>
            </w:r>
          </w:p>
        </w:tc>
        <w:tc>
          <w:tcPr>
            <w:tcW w:w="1807" w:type="pct"/>
            <w:vAlign w:val="center"/>
          </w:tcPr>
          <w:p w14:paraId="3D7895AB">
            <w:pPr>
              <w:widowControl/>
              <w:jc w:val="left"/>
              <w:textAlignment w:val="center"/>
              <w:rPr>
                <w:color w:val="auto"/>
                <w:sz w:val="21"/>
                <w:szCs w:val="21"/>
              </w:rPr>
            </w:pPr>
            <w:r>
              <w:rPr>
                <w:rFonts w:hint="eastAsia" w:ascii="宋体" w:hAnsi="宋体" w:cs="宋体"/>
                <w:color w:val="auto"/>
                <w:sz w:val="21"/>
                <w:szCs w:val="21"/>
                <w:lang w:bidi="ar"/>
              </w:rPr>
              <w:t>区间直放站附属设备机柜</w:t>
            </w:r>
          </w:p>
        </w:tc>
        <w:tc>
          <w:tcPr>
            <w:tcW w:w="392" w:type="pct"/>
            <w:vAlign w:val="center"/>
          </w:tcPr>
          <w:p w14:paraId="561298B6">
            <w:pPr>
              <w:widowControl/>
              <w:jc w:val="center"/>
              <w:textAlignment w:val="center"/>
              <w:rPr>
                <w:rFonts w:cs="Arial"/>
                <w:color w:val="auto"/>
                <w:sz w:val="21"/>
                <w:szCs w:val="21"/>
                <w:lang w:val="fr-FR"/>
              </w:rPr>
            </w:pPr>
            <w:r>
              <w:rPr>
                <w:rFonts w:hint="eastAsia" w:ascii="宋体" w:hAnsi="宋体" w:cs="宋体"/>
                <w:color w:val="auto"/>
                <w:sz w:val="21"/>
                <w:szCs w:val="21"/>
                <w:lang w:bidi="ar"/>
              </w:rPr>
              <w:t>架</w:t>
            </w:r>
          </w:p>
        </w:tc>
        <w:tc>
          <w:tcPr>
            <w:tcW w:w="453" w:type="pct"/>
            <w:vAlign w:val="center"/>
          </w:tcPr>
          <w:p w14:paraId="227964EC">
            <w:pPr>
              <w:widowControl/>
              <w:jc w:val="center"/>
              <w:textAlignment w:val="center"/>
              <w:rPr>
                <w:rFonts w:cs="宋体"/>
                <w:color w:val="auto"/>
                <w:sz w:val="21"/>
                <w:szCs w:val="21"/>
              </w:rPr>
            </w:pPr>
            <w:r>
              <w:rPr>
                <w:rFonts w:hint="eastAsia" w:ascii="宋体" w:hAnsi="宋体" w:cs="宋体"/>
                <w:color w:val="auto"/>
                <w:sz w:val="21"/>
                <w:szCs w:val="21"/>
                <w:lang w:bidi="ar"/>
              </w:rPr>
              <w:t>16</w:t>
            </w:r>
          </w:p>
        </w:tc>
        <w:tc>
          <w:tcPr>
            <w:tcW w:w="1929" w:type="pct"/>
            <w:vAlign w:val="center"/>
          </w:tcPr>
          <w:p w14:paraId="26216D4E">
            <w:pPr>
              <w:snapToGrid w:val="0"/>
              <w:spacing w:line="240" w:lineRule="exact"/>
              <w:jc w:val="center"/>
              <w:rPr>
                <w:rFonts w:cs="宋体"/>
                <w:color w:val="auto"/>
                <w:sz w:val="21"/>
                <w:szCs w:val="21"/>
              </w:rPr>
            </w:pPr>
            <w:r>
              <w:rPr>
                <w:rFonts w:hint="eastAsia" w:cs="宋体"/>
                <w:color w:val="auto"/>
                <w:sz w:val="21"/>
                <w:szCs w:val="21"/>
              </w:rPr>
              <w:t>含机柜、底座、螺丝、托盘、理线架、配电单元等</w:t>
            </w:r>
          </w:p>
        </w:tc>
      </w:tr>
      <w:tr w14:paraId="3B26EFE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04C48E78">
            <w:pPr>
              <w:snapToGrid w:val="0"/>
              <w:spacing w:line="240" w:lineRule="exact"/>
              <w:jc w:val="center"/>
              <w:rPr>
                <w:rFonts w:cs="宋体"/>
                <w:color w:val="auto"/>
                <w:sz w:val="21"/>
                <w:szCs w:val="21"/>
              </w:rPr>
            </w:pPr>
            <w:r>
              <w:rPr>
                <w:rFonts w:hint="eastAsia" w:cs="宋体"/>
                <w:color w:val="auto"/>
                <w:sz w:val="21"/>
                <w:szCs w:val="21"/>
              </w:rPr>
              <w:t>12</w:t>
            </w:r>
          </w:p>
        </w:tc>
        <w:tc>
          <w:tcPr>
            <w:tcW w:w="1807" w:type="pct"/>
            <w:vAlign w:val="center"/>
          </w:tcPr>
          <w:p w14:paraId="039A3BA2">
            <w:pPr>
              <w:widowControl/>
              <w:jc w:val="left"/>
              <w:textAlignment w:val="center"/>
              <w:rPr>
                <w:color w:val="auto"/>
                <w:sz w:val="21"/>
                <w:szCs w:val="21"/>
              </w:rPr>
            </w:pPr>
            <w:r>
              <w:rPr>
                <w:rFonts w:hint="eastAsia" w:ascii="宋体" w:hAnsi="宋体" w:cs="宋体"/>
                <w:color w:val="auto"/>
                <w:sz w:val="21"/>
                <w:szCs w:val="21"/>
                <w:lang w:bidi="ar"/>
              </w:rPr>
              <w:t>无线列调对讲通信系统光纤直放站近端机</w:t>
            </w:r>
          </w:p>
        </w:tc>
        <w:tc>
          <w:tcPr>
            <w:tcW w:w="392" w:type="pct"/>
            <w:vAlign w:val="center"/>
          </w:tcPr>
          <w:p w14:paraId="4EEE6581">
            <w:pPr>
              <w:widowControl/>
              <w:jc w:val="center"/>
              <w:textAlignment w:val="center"/>
              <w:rPr>
                <w:rFonts w:cs="Arial"/>
                <w:color w:val="auto"/>
                <w:sz w:val="21"/>
                <w:szCs w:val="21"/>
                <w:lang w:val="fr-FR"/>
              </w:rPr>
            </w:pPr>
            <w:r>
              <w:rPr>
                <w:rFonts w:hint="eastAsia" w:ascii="宋体" w:hAnsi="宋体" w:cs="宋体"/>
                <w:color w:val="auto"/>
                <w:sz w:val="21"/>
                <w:szCs w:val="21"/>
                <w:lang w:bidi="ar"/>
              </w:rPr>
              <w:t>套</w:t>
            </w:r>
          </w:p>
        </w:tc>
        <w:tc>
          <w:tcPr>
            <w:tcW w:w="453" w:type="pct"/>
            <w:vAlign w:val="center"/>
          </w:tcPr>
          <w:p w14:paraId="2AB8F3C9">
            <w:pPr>
              <w:widowControl/>
              <w:jc w:val="center"/>
              <w:textAlignment w:val="center"/>
              <w:rPr>
                <w:rFonts w:cs="宋体"/>
                <w:color w:val="auto"/>
                <w:sz w:val="21"/>
                <w:szCs w:val="21"/>
              </w:rPr>
            </w:pPr>
            <w:r>
              <w:rPr>
                <w:rFonts w:hint="eastAsia" w:ascii="宋体" w:hAnsi="宋体" w:cs="宋体"/>
                <w:color w:val="auto"/>
                <w:sz w:val="21"/>
                <w:szCs w:val="21"/>
                <w:lang w:bidi="ar"/>
              </w:rPr>
              <w:t>3</w:t>
            </w:r>
          </w:p>
        </w:tc>
        <w:tc>
          <w:tcPr>
            <w:tcW w:w="1929" w:type="pct"/>
            <w:vAlign w:val="center"/>
          </w:tcPr>
          <w:p w14:paraId="146D2B68">
            <w:pPr>
              <w:snapToGrid w:val="0"/>
              <w:spacing w:line="240" w:lineRule="exact"/>
              <w:jc w:val="center"/>
              <w:rPr>
                <w:rFonts w:cs="宋体"/>
                <w:color w:val="auto"/>
                <w:sz w:val="21"/>
                <w:szCs w:val="21"/>
              </w:rPr>
            </w:pPr>
            <w:r>
              <w:rPr>
                <w:rFonts w:hint="eastAsia" w:cs="宋体"/>
                <w:color w:val="auto"/>
                <w:sz w:val="21"/>
                <w:szCs w:val="21"/>
              </w:rPr>
              <w:t>含本设</w:t>
            </w:r>
            <w:r>
              <w:rPr>
                <w:rFonts w:cs="宋体"/>
                <w:color w:val="auto"/>
                <w:sz w:val="21"/>
                <w:szCs w:val="21"/>
              </w:rPr>
              <w:t>备</w:t>
            </w:r>
            <w:r>
              <w:rPr>
                <w:rFonts w:hint="eastAsia" w:cs="宋体"/>
                <w:color w:val="auto"/>
                <w:sz w:val="21"/>
                <w:szCs w:val="21"/>
              </w:rPr>
              <w:t>与所有相关设备</w:t>
            </w:r>
            <w:r>
              <w:rPr>
                <w:rFonts w:cs="宋体"/>
                <w:color w:val="auto"/>
                <w:sz w:val="21"/>
                <w:szCs w:val="21"/>
              </w:rPr>
              <w:t>之间</w:t>
            </w:r>
            <w:r>
              <w:rPr>
                <w:rFonts w:hint="eastAsia" w:cs="宋体"/>
                <w:color w:val="auto"/>
                <w:sz w:val="21"/>
                <w:szCs w:val="21"/>
              </w:rPr>
              <w:t>的</w:t>
            </w:r>
            <w:r>
              <w:rPr>
                <w:rFonts w:cs="宋体"/>
                <w:color w:val="auto"/>
                <w:sz w:val="21"/>
                <w:szCs w:val="21"/>
              </w:rPr>
              <w:t>电缆（</w:t>
            </w:r>
            <w:r>
              <w:rPr>
                <w:rFonts w:hint="eastAsia" w:cs="宋体"/>
                <w:color w:val="auto"/>
                <w:sz w:val="21"/>
                <w:szCs w:val="21"/>
              </w:rPr>
              <w:t>包括2M线及接头、RJ45</w:t>
            </w:r>
            <w:r>
              <w:rPr>
                <w:rFonts w:cs="宋体"/>
                <w:color w:val="auto"/>
                <w:sz w:val="21"/>
                <w:szCs w:val="21"/>
              </w:rPr>
              <w:t>电缆</w:t>
            </w:r>
            <w:r>
              <w:rPr>
                <w:rFonts w:hint="eastAsia" w:cs="宋体"/>
                <w:color w:val="auto"/>
                <w:sz w:val="21"/>
                <w:szCs w:val="21"/>
              </w:rPr>
              <w:t>及接头、跳线、尾纤、功分器、耦合器、电桥、馈线接头等</w:t>
            </w:r>
            <w:r>
              <w:rPr>
                <w:rFonts w:cs="宋体"/>
                <w:color w:val="auto"/>
                <w:sz w:val="21"/>
                <w:szCs w:val="21"/>
              </w:rPr>
              <w:t>）</w:t>
            </w:r>
            <w:r>
              <w:rPr>
                <w:rFonts w:hint="eastAsia" w:cs="宋体"/>
                <w:color w:val="auto"/>
                <w:sz w:val="21"/>
                <w:szCs w:val="21"/>
              </w:rPr>
              <w:t>含1备品</w:t>
            </w:r>
          </w:p>
        </w:tc>
      </w:tr>
      <w:tr w14:paraId="5BE3E67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5FCE3075">
            <w:pPr>
              <w:snapToGrid w:val="0"/>
              <w:spacing w:line="240" w:lineRule="exact"/>
              <w:jc w:val="center"/>
              <w:rPr>
                <w:rFonts w:cs="宋体"/>
                <w:color w:val="auto"/>
                <w:sz w:val="21"/>
                <w:szCs w:val="21"/>
              </w:rPr>
            </w:pPr>
            <w:r>
              <w:rPr>
                <w:rFonts w:hint="eastAsia" w:cs="宋体"/>
                <w:color w:val="auto"/>
                <w:sz w:val="21"/>
                <w:szCs w:val="21"/>
              </w:rPr>
              <w:t>13</w:t>
            </w:r>
          </w:p>
        </w:tc>
        <w:tc>
          <w:tcPr>
            <w:tcW w:w="1807" w:type="pct"/>
            <w:vAlign w:val="center"/>
          </w:tcPr>
          <w:p w14:paraId="0425D38C">
            <w:pPr>
              <w:widowControl/>
              <w:jc w:val="left"/>
              <w:textAlignment w:val="center"/>
              <w:rPr>
                <w:color w:val="auto"/>
                <w:sz w:val="21"/>
                <w:szCs w:val="21"/>
              </w:rPr>
            </w:pPr>
            <w:r>
              <w:rPr>
                <w:rFonts w:hint="eastAsia" w:ascii="宋体" w:hAnsi="宋体" w:cs="宋体"/>
                <w:color w:val="auto"/>
                <w:sz w:val="21"/>
                <w:szCs w:val="21"/>
                <w:lang w:bidi="ar"/>
              </w:rPr>
              <w:t>无线列调对讲通信系统光纤直放站远端机</w:t>
            </w:r>
          </w:p>
        </w:tc>
        <w:tc>
          <w:tcPr>
            <w:tcW w:w="392" w:type="pct"/>
            <w:vAlign w:val="center"/>
          </w:tcPr>
          <w:p w14:paraId="3A314992">
            <w:pPr>
              <w:widowControl/>
              <w:jc w:val="center"/>
              <w:textAlignment w:val="center"/>
              <w:rPr>
                <w:rFonts w:cs="Arial"/>
                <w:color w:val="auto"/>
                <w:sz w:val="21"/>
                <w:szCs w:val="21"/>
                <w:lang w:val="fr-FR"/>
              </w:rPr>
            </w:pPr>
            <w:r>
              <w:rPr>
                <w:rFonts w:hint="eastAsia" w:ascii="宋体" w:hAnsi="宋体" w:cs="宋体"/>
                <w:color w:val="auto"/>
                <w:sz w:val="21"/>
                <w:szCs w:val="21"/>
                <w:lang w:bidi="ar"/>
              </w:rPr>
              <w:t>套</w:t>
            </w:r>
          </w:p>
        </w:tc>
        <w:tc>
          <w:tcPr>
            <w:tcW w:w="453" w:type="pct"/>
            <w:vAlign w:val="center"/>
          </w:tcPr>
          <w:p w14:paraId="0FE04A39">
            <w:pPr>
              <w:widowControl/>
              <w:jc w:val="center"/>
              <w:textAlignment w:val="center"/>
              <w:rPr>
                <w:rFonts w:cs="宋体"/>
                <w:color w:val="auto"/>
                <w:sz w:val="21"/>
                <w:szCs w:val="21"/>
              </w:rPr>
            </w:pPr>
            <w:r>
              <w:rPr>
                <w:rFonts w:hint="eastAsia" w:ascii="宋体" w:hAnsi="宋体" w:cs="宋体"/>
                <w:color w:val="auto"/>
                <w:sz w:val="21"/>
                <w:szCs w:val="21"/>
                <w:lang w:bidi="ar"/>
              </w:rPr>
              <w:t>17</w:t>
            </w:r>
          </w:p>
        </w:tc>
        <w:tc>
          <w:tcPr>
            <w:tcW w:w="1929" w:type="pct"/>
            <w:vAlign w:val="center"/>
          </w:tcPr>
          <w:p w14:paraId="2A8C1A91">
            <w:pPr>
              <w:snapToGrid w:val="0"/>
              <w:spacing w:line="240" w:lineRule="exact"/>
              <w:jc w:val="center"/>
              <w:rPr>
                <w:rFonts w:cs="宋体"/>
                <w:color w:val="auto"/>
                <w:sz w:val="21"/>
                <w:szCs w:val="21"/>
              </w:rPr>
            </w:pPr>
            <w:r>
              <w:rPr>
                <w:rFonts w:hint="eastAsia" w:cs="宋体"/>
                <w:color w:val="auto"/>
                <w:sz w:val="21"/>
                <w:szCs w:val="21"/>
              </w:rPr>
              <w:t>含本设</w:t>
            </w:r>
            <w:r>
              <w:rPr>
                <w:rFonts w:cs="宋体"/>
                <w:color w:val="auto"/>
                <w:sz w:val="21"/>
                <w:szCs w:val="21"/>
              </w:rPr>
              <w:t>备</w:t>
            </w:r>
            <w:r>
              <w:rPr>
                <w:rFonts w:hint="eastAsia" w:cs="宋体"/>
                <w:color w:val="auto"/>
                <w:sz w:val="21"/>
                <w:szCs w:val="21"/>
              </w:rPr>
              <w:t>与所有相关设备</w:t>
            </w:r>
            <w:r>
              <w:rPr>
                <w:rFonts w:cs="宋体"/>
                <w:color w:val="auto"/>
                <w:sz w:val="21"/>
                <w:szCs w:val="21"/>
              </w:rPr>
              <w:t>之间</w:t>
            </w:r>
            <w:r>
              <w:rPr>
                <w:rFonts w:hint="eastAsia" w:cs="宋体"/>
                <w:color w:val="auto"/>
                <w:sz w:val="21"/>
                <w:szCs w:val="21"/>
              </w:rPr>
              <w:t>的</w:t>
            </w:r>
            <w:r>
              <w:rPr>
                <w:rFonts w:cs="宋体"/>
                <w:color w:val="auto"/>
                <w:sz w:val="21"/>
                <w:szCs w:val="21"/>
              </w:rPr>
              <w:t>电缆（</w:t>
            </w:r>
            <w:r>
              <w:rPr>
                <w:rFonts w:hint="eastAsia" w:cs="宋体"/>
                <w:color w:val="auto"/>
                <w:sz w:val="21"/>
                <w:szCs w:val="21"/>
              </w:rPr>
              <w:t>包括2M线及接头、RJ45</w:t>
            </w:r>
            <w:r>
              <w:rPr>
                <w:rFonts w:cs="宋体"/>
                <w:color w:val="auto"/>
                <w:sz w:val="21"/>
                <w:szCs w:val="21"/>
              </w:rPr>
              <w:t>电缆</w:t>
            </w:r>
            <w:r>
              <w:rPr>
                <w:rFonts w:hint="eastAsia" w:cs="宋体"/>
                <w:color w:val="auto"/>
                <w:sz w:val="21"/>
                <w:szCs w:val="21"/>
              </w:rPr>
              <w:t>及接头、跳线、尾纤、功分器、耦合器、电桥、馈线接头等</w:t>
            </w:r>
            <w:r>
              <w:rPr>
                <w:rFonts w:cs="宋体"/>
                <w:color w:val="auto"/>
                <w:sz w:val="21"/>
                <w:szCs w:val="21"/>
              </w:rPr>
              <w:t>）</w:t>
            </w:r>
            <w:r>
              <w:rPr>
                <w:rFonts w:hint="eastAsia" w:cs="宋体"/>
                <w:color w:val="auto"/>
                <w:sz w:val="21"/>
                <w:szCs w:val="21"/>
              </w:rPr>
              <w:t>含1备品</w:t>
            </w:r>
          </w:p>
        </w:tc>
      </w:tr>
      <w:tr w14:paraId="3645A90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510C7EFA">
            <w:pPr>
              <w:snapToGrid w:val="0"/>
              <w:spacing w:line="240" w:lineRule="exact"/>
              <w:jc w:val="center"/>
              <w:rPr>
                <w:rFonts w:cs="宋体"/>
                <w:color w:val="auto"/>
                <w:sz w:val="21"/>
                <w:szCs w:val="21"/>
              </w:rPr>
            </w:pPr>
            <w:r>
              <w:rPr>
                <w:rFonts w:hint="eastAsia" w:cs="宋体"/>
                <w:color w:val="auto"/>
                <w:sz w:val="21"/>
                <w:szCs w:val="21"/>
              </w:rPr>
              <w:t>14</w:t>
            </w:r>
          </w:p>
        </w:tc>
        <w:tc>
          <w:tcPr>
            <w:tcW w:w="1807" w:type="pct"/>
            <w:vAlign w:val="center"/>
          </w:tcPr>
          <w:p w14:paraId="6770154F">
            <w:pPr>
              <w:widowControl/>
              <w:jc w:val="left"/>
              <w:textAlignment w:val="center"/>
              <w:rPr>
                <w:color w:val="auto"/>
                <w:sz w:val="21"/>
                <w:szCs w:val="21"/>
              </w:rPr>
            </w:pPr>
            <w:r>
              <w:rPr>
                <w:rFonts w:hint="eastAsia" w:ascii="宋体" w:hAnsi="宋体" w:cs="宋体"/>
                <w:color w:val="auto"/>
                <w:sz w:val="21"/>
                <w:szCs w:val="21"/>
                <w:lang w:bidi="ar"/>
              </w:rPr>
              <w:t>区间直放站UPS(0.5kVA)/含蓄电池(持续供电时间6h)</w:t>
            </w:r>
          </w:p>
        </w:tc>
        <w:tc>
          <w:tcPr>
            <w:tcW w:w="392" w:type="pct"/>
            <w:vAlign w:val="center"/>
          </w:tcPr>
          <w:p w14:paraId="51EE6565">
            <w:pPr>
              <w:widowControl/>
              <w:jc w:val="center"/>
              <w:textAlignment w:val="center"/>
              <w:rPr>
                <w:rFonts w:cs="Arial"/>
                <w:color w:val="auto"/>
                <w:sz w:val="21"/>
                <w:szCs w:val="21"/>
                <w:lang w:val="fr-FR"/>
              </w:rPr>
            </w:pPr>
            <w:r>
              <w:rPr>
                <w:rFonts w:hint="eastAsia" w:ascii="宋体" w:hAnsi="宋体" w:cs="宋体"/>
                <w:color w:val="auto"/>
                <w:sz w:val="21"/>
                <w:szCs w:val="21"/>
                <w:lang w:bidi="ar"/>
              </w:rPr>
              <w:t>台</w:t>
            </w:r>
          </w:p>
        </w:tc>
        <w:tc>
          <w:tcPr>
            <w:tcW w:w="453" w:type="pct"/>
            <w:vAlign w:val="center"/>
          </w:tcPr>
          <w:p w14:paraId="41B4AA89">
            <w:pPr>
              <w:widowControl/>
              <w:jc w:val="center"/>
              <w:textAlignment w:val="center"/>
              <w:rPr>
                <w:rFonts w:cs="宋体"/>
                <w:color w:val="auto"/>
                <w:sz w:val="21"/>
                <w:szCs w:val="21"/>
              </w:rPr>
            </w:pPr>
            <w:r>
              <w:rPr>
                <w:rFonts w:hint="eastAsia" w:ascii="宋体" w:hAnsi="宋体" w:cs="宋体"/>
                <w:color w:val="auto"/>
                <w:sz w:val="21"/>
                <w:szCs w:val="21"/>
                <w:lang w:bidi="ar"/>
              </w:rPr>
              <w:t>16</w:t>
            </w:r>
          </w:p>
        </w:tc>
        <w:tc>
          <w:tcPr>
            <w:tcW w:w="1929" w:type="pct"/>
            <w:vAlign w:val="center"/>
          </w:tcPr>
          <w:p w14:paraId="4AFF1140">
            <w:pPr>
              <w:snapToGrid w:val="0"/>
              <w:spacing w:line="240" w:lineRule="exact"/>
              <w:jc w:val="center"/>
              <w:rPr>
                <w:rFonts w:cs="宋体"/>
                <w:color w:val="auto"/>
                <w:sz w:val="21"/>
                <w:szCs w:val="21"/>
              </w:rPr>
            </w:pPr>
            <w:r>
              <w:rPr>
                <w:rFonts w:hint="eastAsia" w:cs="宋体"/>
                <w:color w:val="auto"/>
                <w:sz w:val="21"/>
                <w:szCs w:val="21"/>
              </w:rPr>
              <w:t>含支架、连接线、蓄电池架或柜等</w:t>
            </w:r>
          </w:p>
        </w:tc>
      </w:tr>
      <w:tr w14:paraId="30DABF0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29725726">
            <w:pPr>
              <w:snapToGrid w:val="0"/>
              <w:spacing w:line="240" w:lineRule="exact"/>
              <w:jc w:val="center"/>
              <w:rPr>
                <w:rFonts w:cs="宋体"/>
                <w:color w:val="auto"/>
                <w:sz w:val="21"/>
                <w:szCs w:val="21"/>
              </w:rPr>
            </w:pPr>
            <w:r>
              <w:rPr>
                <w:rFonts w:hint="eastAsia" w:cs="宋体"/>
                <w:color w:val="auto"/>
                <w:sz w:val="21"/>
                <w:szCs w:val="21"/>
              </w:rPr>
              <w:t>15</w:t>
            </w:r>
          </w:p>
        </w:tc>
        <w:tc>
          <w:tcPr>
            <w:tcW w:w="1807" w:type="pct"/>
            <w:vAlign w:val="center"/>
          </w:tcPr>
          <w:p w14:paraId="22860BF9">
            <w:pPr>
              <w:widowControl/>
              <w:jc w:val="left"/>
              <w:textAlignment w:val="center"/>
              <w:rPr>
                <w:color w:val="auto"/>
                <w:sz w:val="21"/>
                <w:szCs w:val="21"/>
              </w:rPr>
            </w:pPr>
            <w:r>
              <w:rPr>
                <w:rFonts w:hint="eastAsia" w:ascii="宋体" w:hAnsi="宋体" w:cs="宋体"/>
                <w:color w:val="auto"/>
                <w:sz w:val="21"/>
                <w:szCs w:val="21"/>
                <w:lang w:bidi="ar"/>
              </w:rPr>
              <w:t>无线列调对讲通信系统机车台(含天馈)</w:t>
            </w:r>
          </w:p>
        </w:tc>
        <w:tc>
          <w:tcPr>
            <w:tcW w:w="392" w:type="pct"/>
            <w:vAlign w:val="center"/>
          </w:tcPr>
          <w:p w14:paraId="0B8607A8">
            <w:pPr>
              <w:widowControl/>
              <w:jc w:val="center"/>
              <w:textAlignment w:val="center"/>
              <w:rPr>
                <w:rFonts w:cs="Arial"/>
                <w:color w:val="auto"/>
                <w:sz w:val="21"/>
                <w:szCs w:val="21"/>
                <w:lang w:val="fr-FR"/>
              </w:rPr>
            </w:pPr>
            <w:r>
              <w:rPr>
                <w:rFonts w:hint="eastAsia" w:ascii="宋体" w:hAnsi="宋体" w:cs="宋体"/>
                <w:color w:val="auto"/>
                <w:sz w:val="21"/>
                <w:szCs w:val="21"/>
                <w:lang w:bidi="ar"/>
              </w:rPr>
              <w:t>套</w:t>
            </w:r>
          </w:p>
        </w:tc>
        <w:tc>
          <w:tcPr>
            <w:tcW w:w="453" w:type="pct"/>
            <w:vAlign w:val="center"/>
          </w:tcPr>
          <w:p w14:paraId="2FE0745A">
            <w:pPr>
              <w:widowControl/>
              <w:jc w:val="center"/>
              <w:textAlignment w:val="center"/>
              <w:rPr>
                <w:rFonts w:cs="宋体"/>
                <w:color w:val="auto"/>
                <w:sz w:val="21"/>
                <w:szCs w:val="21"/>
              </w:rPr>
            </w:pPr>
            <w:r>
              <w:rPr>
                <w:rFonts w:hint="eastAsia" w:ascii="宋体" w:hAnsi="宋体" w:cs="宋体"/>
                <w:color w:val="auto"/>
                <w:sz w:val="21"/>
                <w:szCs w:val="21"/>
                <w:lang w:bidi="ar"/>
              </w:rPr>
              <w:t>3</w:t>
            </w:r>
          </w:p>
        </w:tc>
        <w:tc>
          <w:tcPr>
            <w:tcW w:w="1929" w:type="pct"/>
            <w:vAlign w:val="center"/>
          </w:tcPr>
          <w:p w14:paraId="50DC5CA3">
            <w:pPr>
              <w:snapToGrid w:val="0"/>
              <w:spacing w:line="240" w:lineRule="exact"/>
              <w:jc w:val="center"/>
              <w:rPr>
                <w:rFonts w:cs="宋体"/>
                <w:color w:val="auto"/>
                <w:sz w:val="21"/>
                <w:szCs w:val="21"/>
              </w:rPr>
            </w:pPr>
            <w:r>
              <w:rPr>
                <w:rFonts w:hint="eastAsia" w:cs="宋体"/>
                <w:color w:val="auto"/>
                <w:sz w:val="21"/>
                <w:szCs w:val="21"/>
              </w:rPr>
              <w:t>含本设</w:t>
            </w:r>
            <w:r>
              <w:rPr>
                <w:rFonts w:cs="宋体"/>
                <w:color w:val="auto"/>
                <w:sz w:val="21"/>
                <w:szCs w:val="21"/>
              </w:rPr>
              <w:t>备</w:t>
            </w:r>
            <w:r>
              <w:rPr>
                <w:rFonts w:hint="eastAsia" w:cs="宋体"/>
                <w:color w:val="auto"/>
                <w:sz w:val="21"/>
                <w:szCs w:val="21"/>
              </w:rPr>
              <w:t>与所有相关设备</w:t>
            </w:r>
            <w:r>
              <w:rPr>
                <w:rFonts w:cs="宋体"/>
                <w:color w:val="auto"/>
                <w:sz w:val="21"/>
                <w:szCs w:val="21"/>
              </w:rPr>
              <w:t>之间</w:t>
            </w:r>
            <w:r>
              <w:rPr>
                <w:rFonts w:hint="eastAsia" w:cs="宋体"/>
                <w:color w:val="auto"/>
                <w:sz w:val="21"/>
                <w:szCs w:val="21"/>
              </w:rPr>
              <w:t>的</w:t>
            </w:r>
            <w:r>
              <w:rPr>
                <w:rFonts w:cs="宋体"/>
                <w:color w:val="auto"/>
                <w:sz w:val="21"/>
                <w:szCs w:val="21"/>
              </w:rPr>
              <w:t>电缆（</w:t>
            </w:r>
            <w:r>
              <w:rPr>
                <w:rFonts w:hint="eastAsia" w:cs="宋体"/>
                <w:color w:val="auto"/>
                <w:sz w:val="21"/>
                <w:szCs w:val="21"/>
              </w:rPr>
              <w:t>包括2M线及接头、RJ45</w:t>
            </w:r>
            <w:r>
              <w:rPr>
                <w:rFonts w:cs="宋体"/>
                <w:color w:val="auto"/>
                <w:sz w:val="21"/>
                <w:szCs w:val="21"/>
              </w:rPr>
              <w:t>电缆</w:t>
            </w:r>
            <w:r>
              <w:rPr>
                <w:rFonts w:hint="eastAsia" w:cs="宋体"/>
                <w:color w:val="auto"/>
                <w:sz w:val="21"/>
                <w:szCs w:val="21"/>
              </w:rPr>
              <w:t>及接头、跳线、尾纤等</w:t>
            </w:r>
            <w:r>
              <w:rPr>
                <w:rFonts w:cs="宋体"/>
                <w:color w:val="auto"/>
                <w:sz w:val="21"/>
                <w:szCs w:val="21"/>
              </w:rPr>
              <w:t>）</w:t>
            </w:r>
          </w:p>
        </w:tc>
      </w:tr>
      <w:tr w14:paraId="3DEADD3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52DFDD11">
            <w:pPr>
              <w:snapToGrid w:val="0"/>
              <w:spacing w:line="240" w:lineRule="exact"/>
              <w:jc w:val="center"/>
              <w:rPr>
                <w:rFonts w:cs="宋体"/>
                <w:color w:val="auto"/>
                <w:sz w:val="21"/>
                <w:szCs w:val="21"/>
              </w:rPr>
            </w:pPr>
            <w:r>
              <w:rPr>
                <w:rFonts w:hint="eastAsia" w:cs="宋体"/>
                <w:color w:val="auto"/>
                <w:sz w:val="21"/>
                <w:szCs w:val="21"/>
              </w:rPr>
              <w:t>16</w:t>
            </w:r>
          </w:p>
        </w:tc>
        <w:tc>
          <w:tcPr>
            <w:tcW w:w="1807" w:type="pct"/>
            <w:vAlign w:val="center"/>
          </w:tcPr>
          <w:p w14:paraId="7130A75F">
            <w:pPr>
              <w:widowControl/>
              <w:jc w:val="left"/>
              <w:textAlignment w:val="center"/>
              <w:rPr>
                <w:color w:val="auto"/>
                <w:sz w:val="21"/>
                <w:szCs w:val="21"/>
              </w:rPr>
            </w:pPr>
            <w:r>
              <w:rPr>
                <w:rFonts w:hint="eastAsia" w:ascii="宋体" w:hAnsi="宋体" w:cs="宋体"/>
                <w:color w:val="auto"/>
                <w:sz w:val="21"/>
                <w:szCs w:val="21"/>
                <w:lang w:bidi="ar"/>
              </w:rPr>
              <w:t>无线列调对讲通信系统手持台</w:t>
            </w:r>
          </w:p>
        </w:tc>
        <w:tc>
          <w:tcPr>
            <w:tcW w:w="392" w:type="pct"/>
            <w:vAlign w:val="center"/>
          </w:tcPr>
          <w:p w14:paraId="7291CB50">
            <w:pPr>
              <w:widowControl/>
              <w:jc w:val="center"/>
              <w:textAlignment w:val="center"/>
              <w:rPr>
                <w:rFonts w:cs="Arial"/>
                <w:color w:val="auto"/>
                <w:sz w:val="21"/>
                <w:szCs w:val="21"/>
                <w:lang w:val="fr-FR"/>
              </w:rPr>
            </w:pPr>
            <w:r>
              <w:rPr>
                <w:rFonts w:hint="eastAsia" w:ascii="宋体" w:hAnsi="宋体" w:cs="宋体"/>
                <w:color w:val="auto"/>
                <w:sz w:val="21"/>
                <w:szCs w:val="21"/>
                <w:lang w:bidi="ar"/>
              </w:rPr>
              <w:t>台</w:t>
            </w:r>
          </w:p>
        </w:tc>
        <w:tc>
          <w:tcPr>
            <w:tcW w:w="453" w:type="pct"/>
            <w:vAlign w:val="center"/>
          </w:tcPr>
          <w:p w14:paraId="5E31BA2A">
            <w:pPr>
              <w:widowControl/>
              <w:jc w:val="center"/>
              <w:textAlignment w:val="center"/>
              <w:rPr>
                <w:rFonts w:cs="宋体"/>
                <w:color w:val="auto"/>
                <w:sz w:val="21"/>
                <w:szCs w:val="21"/>
              </w:rPr>
            </w:pPr>
            <w:r>
              <w:rPr>
                <w:rFonts w:hint="eastAsia" w:ascii="宋体" w:hAnsi="宋体" w:cs="宋体"/>
                <w:color w:val="auto"/>
                <w:sz w:val="21"/>
                <w:szCs w:val="21"/>
                <w:lang w:bidi="ar"/>
              </w:rPr>
              <w:t>60</w:t>
            </w:r>
          </w:p>
        </w:tc>
        <w:tc>
          <w:tcPr>
            <w:tcW w:w="1929" w:type="pct"/>
            <w:vAlign w:val="center"/>
          </w:tcPr>
          <w:p w14:paraId="34BFD212">
            <w:pPr>
              <w:snapToGrid w:val="0"/>
              <w:spacing w:line="240" w:lineRule="exact"/>
              <w:jc w:val="center"/>
              <w:rPr>
                <w:rFonts w:cs="宋体"/>
                <w:color w:val="auto"/>
                <w:sz w:val="21"/>
                <w:szCs w:val="21"/>
              </w:rPr>
            </w:pPr>
          </w:p>
        </w:tc>
      </w:tr>
      <w:tr w14:paraId="72BBD58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7634AD23">
            <w:pPr>
              <w:snapToGrid w:val="0"/>
              <w:spacing w:line="240" w:lineRule="exact"/>
              <w:jc w:val="center"/>
              <w:rPr>
                <w:rFonts w:cs="宋体"/>
                <w:color w:val="auto"/>
                <w:sz w:val="21"/>
                <w:szCs w:val="21"/>
              </w:rPr>
            </w:pPr>
            <w:r>
              <w:rPr>
                <w:rFonts w:hint="eastAsia" w:cs="宋体"/>
                <w:color w:val="auto"/>
                <w:sz w:val="21"/>
                <w:szCs w:val="21"/>
              </w:rPr>
              <w:t>17</w:t>
            </w:r>
          </w:p>
        </w:tc>
        <w:tc>
          <w:tcPr>
            <w:tcW w:w="1807" w:type="pct"/>
            <w:vAlign w:val="center"/>
          </w:tcPr>
          <w:p w14:paraId="5DE32015">
            <w:pPr>
              <w:widowControl/>
              <w:jc w:val="left"/>
              <w:textAlignment w:val="center"/>
              <w:rPr>
                <w:color w:val="auto"/>
                <w:sz w:val="21"/>
                <w:szCs w:val="21"/>
              </w:rPr>
            </w:pPr>
            <w:r>
              <w:rPr>
                <w:rFonts w:hint="eastAsia" w:ascii="宋体" w:hAnsi="宋体" w:cs="宋体"/>
                <w:color w:val="auto"/>
                <w:sz w:val="21"/>
                <w:szCs w:val="21"/>
                <w:lang w:bidi="ar"/>
              </w:rPr>
              <w:t>无线调车通信系统固定台</w:t>
            </w:r>
          </w:p>
        </w:tc>
        <w:tc>
          <w:tcPr>
            <w:tcW w:w="392" w:type="pct"/>
            <w:vAlign w:val="center"/>
          </w:tcPr>
          <w:p w14:paraId="6D52B5F2">
            <w:pPr>
              <w:widowControl/>
              <w:jc w:val="center"/>
              <w:textAlignment w:val="center"/>
              <w:rPr>
                <w:rFonts w:cs="Arial"/>
                <w:color w:val="auto"/>
                <w:sz w:val="21"/>
                <w:szCs w:val="21"/>
                <w:lang w:val="fr-FR"/>
              </w:rPr>
            </w:pPr>
            <w:r>
              <w:rPr>
                <w:rFonts w:hint="eastAsia" w:ascii="宋体" w:hAnsi="宋体" w:cs="宋体"/>
                <w:color w:val="auto"/>
                <w:sz w:val="21"/>
                <w:szCs w:val="21"/>
                <w:lang w:bidi="ar"/>
              </w:rPr>
              <w:t>台</w:t>
            </w:r>
          </w:p>
        </w:tc>
        <w:tc>
          <w:tcPr>
            <w:tcW w:w="453" w:type="pct"/>
            <w:vAlign w:val="center"/>
          </w:tcPr>
          <w:p w14:paraId="191AE978">
            <w:pPr>
              <w:widowControl/>
              <w:jc w:val="center"/>
              <w:textAlignment w:val="center"/>
              <w:rPr>
                <w:rFonts w:cs="宋体"/>
                <w:color w:val="auto"/>
                <w:sz w:val="21"/>
                <w:szCs w:val="21"/>
              </w:rPr>
            </w:pPr>
            <w:r>
              <w:rPr>
                <w:rFonts w:hint="eastAsia" w:ascii="宋体" w:hAnsi="宋体" w:cs="宋体"/>
                <w:color w:val="auto"/>
                <w:sz w:val="21"/>
                <w:szCs w:val="21"/>
                <w:lang w:bidi="ar"/>
              </w:rPr>
              <w:t>1</w:t>
            </w:r>
          </w:p>
        </w:tc>
        <w:tc>
          <w:tcPr>
            <w:tcW w:w="1929" w:type="pct"/>
            <w:vAlign w:val="center"/>
          </w:tcPr>
          <w:p w14:paraId="387B7171">
            <w:pPr>
              <w:snapToGrid w:val="0"/>
              <w:spacing w:line="240" w:lineRule="exact"/>
              <w:jc w:val="center"/>
              <w:rPr>
                <w:rFonts w:cs="宋体"/>
                <w:color w:val="auto"/>
                <w:sz w:val="21"/>
                <w:szCs w:val="21"/>
              </w:rPr>
            </w:pPr>
          </w:p>
        </w:tc>
      </w:tr>
      <w:tr w14:paraId="6CA1421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2AFAFE26">
            <w:pPr>
              <w:snapToGrid w:val="0"/>
              <w:spacing w:line="240" w:lineRule="exact"/>
              <w:jc w:val="center"/>
              <w:rPr>
                <w:rFonts w:cs="宋体"/>
                <w:color w:val="auto"/>
                <w:sz w:val="21"/>
                <w:szCs w:val="21"/>
              </w:rPr>
            </w:pPr>
            <w:r>
              <w:rPr>
                <w:rFonts w:hint="eastAsia" w:cs="宋体"/>
                <w:color w:val="auto"/>
                <w:sz w:val="21"/>
                <w:szCs w:val="21"/>
              </w:rPr>
              <w:t>18</w:t>
            </w:r>
          </w:p>
        </w:tc>
        <w:tc>
          <w:tcPr>
            <w:tcW w:w="1807" w:type="pct"/>
            <w:vAlign w:val="center"/>
          </w:tcPr>
          <w:p w14:paraId="79F4BF82">
            <w:pPr>
              <w:widowControl/>
              <w:jc w:val="left"/>
              <w:textAlignment w:val="center"/>
              <w:rPr>
                <w:color w:val="auto"/>
                <w:sz w:val="21"/>
                <w:szCs w:val="21"/>
              </w:rPr>
            </w:pPr>
            <w:r>
              <w:rPr>
                <w:rFonts w:hint="eastAsia" w:ascii="宋体" w:hAnsi="宋体" w:cs="宋体"/>
                <w:color w:val="auto"/>
                <w:sz w:val="21"/>
                <w:szCs w:val="21"/>
                <w:lang w:bidi="ar"/>
              </w:rPr>
              <w:t>无线调车通信系统车载设备</w:t>
            </w:r>
          </w:p>
        </w:tc>
        <w:tc>
          <w:tcPr>
            <w:tcW w:w="392" w:type="pct"/>
            <w:vAlign w:val="center"/>
          </w:tcPr>
          <w:p w14:paraId="3D63D7E9">
            <w:pPr>
              <w:widowControl/>
              <w:jc w:val="center"/>
              <w:textAlignment w:val="center"/>
              <w:rPr>
                <w:rFonts w:cs="Arial"/>
                <w:color w:val="auto"/>
                <w:sz w:val="21"/>
                <w:szCs w:val="21"/>
                <w:lang w:val="fr-FR"/>
              </w:rPr>
            </w:pPr>
            <w:r>
              <w:rPr>
                <w:rFonts w:hint="eastAsia" w:ascii="宋体" w:hAnsi="宋体" w:cs="宋体"/>
                <w:color w:val="auto"/>
                <w:sz w:val="21"/>
                <w:szCs w:val="21"/>
                <w:lang w:bidi="ar"/>
              </w:rPr>
              <w:t>台</w:t>
            </w:r>
          </w:p>
        </w:tc>
        <w:tc>
          <w:tcPr>
            <w:tcW w:w="453" w:type="pct"/>
            <w:vAlign w:val="center"/>
          </w:tcPr>
          <w:p w14:paraId="3A5EDEE3">
            <w:pPr>
              <w:widowControl/>
              <w:jc w:val="center"/>
              <w:textAlignment w:val="center"/>
              <w:rPr>
                <w:rFonts w:cs="宋体"/>
                <w:color w:val="auto"/>
                <w:sz w:val="21"/>
                <w:szCs w:val="21"/>
              </w:rPr>
            </w:pPr>
            <w:r>
              <w:rPr>
                <w:rFonts w:hint="eastAsia" w:ascii="宋体" w:hAnsi="宋体" w:cs="宋体"/>
                <w:color w:val="auto"/>
                <w:sz w:val="21"/>
                <w:szCs w:val="21"/>
                <w:lang w:bidi="ar"/>
              </w:rPr>
              <w:t>1</w:t>
            </w:r>
          </w:p>
        </w:tc>
        <w:tc>
          <w:tcPr>
            <w:tcW w:w="1929" w:type="pct"/>
            <w:vAlign w:val="center"/>
          </w:tcPr>
          <w:p w14:paraId="64996AC0">
            <w:pPr>
              <w:snapToGrid w:val="0"/>
              <w:spacing w:line="240" w:lineRule="exact"/>
              <w:jc w:val="center"/>
              <w:rPr>
                <w:rFonts w:cs="宋体"/>
                <w:color w:val="auto"/>
                <w:sz w:val="21"/>
                <w:szCs w:val="21"/>
              </w:rPr>
            </w:pPr>
          </w:p>
        </w:tc>
      </w:tr>
      <w:tr w14:paraId="42B3413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0171F767">
            <w:pPr>
              <w:snapToGrid w:val="0"/>
              <w:spacing w:line="240" w:lineRule="exact"/>
              <w:jc w:val="center"/>
              <w:rPr>
                <w:rFonts w:cs="宋体"/>
                <w:color w:val="auto"/>
                <w:sz w:val="21"/>
                <w:szCs w:val="21"/>
              </w:rPr>
            </w:pPr>
            <w:r>
              <w:rPr>
                <w:rFonts w:hint="eastAsia" w:cs="宋体"/>
                <w:color w:val="auto"/>
                <w:sz w:val="21"/>
                <w:szCs w:val="21"/>
              </w:rPr>
              <w:t>19</w:t>
            </w:r>
          </w:p>
        </w:tc>
        <w:tc>
          <w:tcPr>
            <w:tcW w:w="1807" w:type="pct"/>
            <w:vAlign w:val="center"/>
          </w:tcPr>
          <w:p w14:paraId="0C2CEBFC">
            <w:pPr>
              <w:widowControl/>
              <w:jc w:val="left"/>
              <w:textAlignment w:val="center"/>
              <w:rPr>
                <w:color w:val="auto"/>
                <w:sz w:val="21"/>
                <w:szCs w:val="21"/>
              </w:rPr>
            </w:pPr>
            <w:r>
              <w:rPr>
                <w:rFonts w:hint="eastAsia" w:ascii="宋体" w:hAnsi="宋体" w:cs="宋体"/>
                <w:color w:val="auto"/>
                <w:sz w:val="21"/>
                <w:szCs w:val="21"/>
                <w:lang w:bidi="ar"/>
              </w:rPr>
              <w:t>无线调车通信系统手持台</w:t>
            </w:r>
          </w:p>
        </w:tc>
        <w:tc>
          <w:tcPr>
            <w:tcW w:w="392" w:type="pct"/>
            <w:vAlign w:val="center"/>
          </w:tcPr>
          <w:p w14:paraId="3265D38D">
            <w:pPr>
              <w:widowControl/>
              <w:jc w:val="center"/>
              <w:textAlignment w:val="center"/>
              <w:rPr>
                <w:rFonts w:cs="Arial"/>
                <w:color w:val="auto"/>
                <w:sz w:val="21"/>
                <w:szCs w:val="21"/>
                <w:lang w:val="fr-FR"/>
              </w:rPr>
            </w:pPr>
            <w:r>
              <w:rPr>
                <w:rFonts w:hint="eastAsia" w:ascii="宋体" w:hAnsi="宋体" w:cs="宋体"/>
                <w:color w:val="auto"/>
                <w:sz w:val="21"/>
                <w:szCs w:val="21"/>
                <w:lang w:bidi="ar"/>
              </w:rPr>
              <w:t>台</w:t>
            </w:r>
          </w:p>
        </w:tc>
        <w:tc>
          <w:tcPr>
            <w:tcW w:w="453" w:type="pct"/>
            <w:vAlign w:val="center"/>
          </w:tcPr>
          <w:p w14:paraId="0771A5A0">
            <w:pPr>
              <w:widowControl/>
              <w:jc w:val="center"/>
              <w:textAlignment w:val="center"/>
              <w:rPr>
                <w:rFonts w:cs="宋体"/>
                <w:color w:val="auto"/>
                <w:sz w:val="21"/>
                <w:szCs w:val="21"/>
              </w:rPr>
            </w:pPr>
            <w:r>
              <w:rPr>
                <w:rFonts w:hint="eastAsia" w:ascii="宋体" w:hAnsi="宋体" w:cs="宋体"/>
                <w:color w:val="auto"/>
                <w:sz w:val="21"/>
                <w:szCs w:val="21"/>
                <w:lang w:bidi="ar"/>
              </w:rPr>
              <w:t>10</w:t>
            </w:r>
          </w:p>
        </w:tc>
        <w:tc>
          <w:tcPr>
            <w:tcW w:w="1929" w:type="pct"/>
            <w:vAlign w:val="center"/>
          </w:tcPr>
          <w:p w14:paraId="2DEB9B58">
            <w:pPr>
              <w:snapToGrid w:val="0"/>
              <w:spacing w:line="240" w:lineRule="exact"/>
              <w:jc w:val="center"/>
              <w:rPr>
                <w:rFonts w:cs="宋体"/>
                <w:color w:val="auto"/>
                <w:sz w:val="21"/>
                <w:szCs w:val="21"/>
              </w:rPr>
            </w:pPr>
          </w:p>
        </w:tc>
      </w:tr>
      <w:tr w14:paraId="3B9A727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71DAC78B">
            <w:pPr>
              <w:snapToGrid w:val="0"/>
              <w:spacing w:line="240" w:lineRule="exact"/>
              <w:jc w:val="center"/>
              <w:rPr>
                <w:rFonts w:cs="宋体"/>
                <w:color w:val="auto"/>
                <w:sz w:val="21"/>
                <w:szCs w:val="21"/>
              </w:rPr>
            </w:pPr>
            <w:r>
              <w:rPr>
                <w:rFonts w:hint="eastAsia" w:cs="宋体"/>
                <w:color w:val="auto"/>
                <w:sz w:val="21"/>
                <w:szCs w:val="21"/>
              </w:rPr>
              <w:t>20</w:t>
            </w:r>
          </w:p>
        </w:tc>
        <w:tc>
          <w:tcPr>
            <w:tcW w:w="1807" w:type="pct"/>
            <w:vAlign w:val="center"/>
          </w:tcPr>
          <w:p w14:paraId="712603BF">
            <w:pPr>
              <w:widowControl/>
              <w:jc w:val="left"/>
              <w:textAlignment w:val="center"/>
              <w:rPr>
                <w:color w:val="auto"/>
                <w:sz w:val="21"/>
                <w:szCs w:val="21"/>
              </w:rPr>
            </w:pPr>
            <w:r>
              <w:rPr>
                <w:rFonts w:hint="eastAsia" w:ascii="宋体" w:hAnsi="宋体" w:cs="宋体"/>
                <w:color w:val="auto"/>
                <w:sz w:val="21"/>
                <w:szCs w:val="21"/>
                <w:lang w:bidi="ar"/>
              </w:rPr>
              <w:t>DMR天线 杆塔板状天线(含馈线、功分/合路器,双工器、避雷器等)</w:t>
            </w:r>
          </w:p>
        </w:tc>
        <w:tc>
          <w:tcPr>
            <w:tcW w:w="392" w:type="pct"/>
            <w:vAlign w:val="center"/>
          </w:tcPr>
          <w:p w14:paraId="5A6AB816">
            <w:pPr>
              <w:widowControl/>
              <w:jc w:val="center"/>
              <w:textAlignment w:val="center"/>
              <w:rPr>
                <w:rFonts w:cs="Arial"/>
                <w:color w:val="auto"/>
                <w:sz w:val="21"/>
                <w:szCs w:val="21"/>
                <w:lang w:val="fr-FR"/>
              </w:rPr>
            </w:pPr>
            <w:r>
              <w:rPr>
                <w:rFonts w:hint="eastAsia" w:ascii="宋体" w:hAnsi="宋体" w:cs="宋体"/>
                <w:color w:val="auto"/>
                <w:sz w:val="21"/>
                <w:szCs w:val="21"/>
                <w:lang w:bidi="ar"/>
              </w:rPr>
              <w:t>套</w:t>
            </w:r>
          </w:p>
        </w:tc>
        <w:tc>
          <w:tcPr>
            <w:tcW w:w="453" w:type="pct"/>
            <w:vAlign w:val="center"/>
          </w:tcPr>
          <w:p w14:paraId="4B250E04">
            <w:pPr>
              <w:widowControl/>
              <w:jc w:val="center"/>
              <w:textAlignment w:val="center"/>
              <w:rPr>
                <w:rFonts w:cs="宋体"/>
                <w:color w:val="auto"/>
                <w:sz w:val="21"/>
                <w:szCs w:val="21"/>
              </w:rPr>
            </w:pPr>
            <w:r>
              <w:rPr>
                <w:rFonts w:hint="eastAsia" w:ascii="宋体" w:hAnsi="宋体" w:cs="宋体"/>
                <w:color w:val="auto"/>
                <w:sz w:val="21"/>
                <w:szCs w:val="21"/>
                <w:lang w:bidi="ar"/>
              </w:rPr>
              <w:t>27</w:t>
            </w:r>
          </w:p>
        </w:tc>
        <w:tc>
          <w:tcPr>
            <w:tcW w:w="1929" w:type="pct"/>
            <w:vAlign w:val="center"/>
          </w:tcPr>
          <w:p w14:paraId="67978A1D">
            <w:pPr>
              <w:snapToGrid w:val="0"/>
              <w:spacing w:line="240" w:lineRule="exact"/>
              <w:jc w:val="center"/>
              <w:rPr>
                <w:rFonts w:cs="宋体"/>
                <w:color w:val="auto"/>
                <w:sz w:val="21"/>
                <w:szCs w:val="21"/>
              </w:rPr>
            </w:pPr>
            <w:r>
              <w:rPr>
                <w:color w:val="auto"/>
                <w:sz w:val="21"/>
                <w:szCs w:val="21"/>
              </w:rPr>
              <w:t>含天线、馈线、避雷器、接头、跳线、功分器、合路器、馈线卡、接地卡、防水套件</w:t>
            </w:r>
            <w:r>
              <w:rPr>
                <w:rFonts w:hint="eastAsia"/>
                <w:color w:val="auto"/>
                <w:sz w:val="21"/>
                <w:szCs w:val="21"/>
              </w:rPr>
              <w:t>及</w:t>
            </w:r>
            <w:r>
              <w:rPr>
                <w:rFonts w:hint="eastAsia" w:cs="宋体"/>
                <w:color w:val="auto"/>
                <w:sz w:val="21"/>
                <w:szCs w:val="21"/>
              </w:rPr>
              <w:t>引入室内的馈线窗等</w:t>
            </w:r>
          </w:p>
        </w:tc>
      </w:tr>
      <w:tr w14:paraId="7EE903B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2F27448F">
            <w:pPr>
              <w:snapToGrid w:val="0"/>
              <w:spacing w:line="240" w:lineRule="exact"/>
              <w:jc w:val="center"/>
              <w:rPr>
                <w:rFonts w:cs="宋体"/>
                <w:color w:val="auto"/>
                <w:sz w:val="21"/>
                <w:szCs w:val="21"/>
              </w:rPr>
            </w:pPr>
            <w:r>
              <w:rPr>
                <w:rFonts w:hint="eastAsia" w:cs="宋体"/>
                <w:color w:val="auto"/>
                <w:sz w:val="21"/>
                <w:szCs w:val="21"/>
              </w:rPr>
              <w:t>21</w:t>
            </w:r>
          </w:p>
        </w:tc>
        <w:tc>
          <w:tcPr>
            <w:tcW w:w="1807" w:type="pct"/>
            <w:vAlign w:val="center"/>
          </w:tcPr>
          <w:p w14:paraId="107DF44C">
            <w:pPr>
              <w:snapToGrid w:val="0"/>
              <w:spacing w:line="240" w:lineRule="exact"/>
              <w:jc w:val="center"/>
              <w:rPr>
                <w:rFonts w:hint="eastAsia" w:ascii="宋体" w:hAnsi="宋体" w:cs="宋体"/>
                <w:color w:val="auto"/>
                <w:sz w:val="21"/>
                <w:szCs w:val="21"/>
                <w:lang w:bidi="ar"/>
              </w:rPr>
            </w:pPr>
            <w:r>
              <w:rPr>
                <w:rFonts w:hint="eastAsia"/>
                <w:color w:val="auto"/>
                <w:sz w:val="21"/>
                <w:szCs w:val="21"/>
              </w:rPr>
              <w:t>技术文件</w:t>
            </w:r>
          </w:p>
        </w:tc>
        <w:tc>
          <w:tcPr>
            <w:tcW w:w="392" w:type="pct"/>
            <w:vAlign w:val="center"/>
          </w:tcPr>
          <w:p w14:paraId="4B11D2FD">
            <w:pPr>
              <w:snapToGrid w:val="0"/>
              <w:spacing w:line="240" w:lineRule="exact"/>
              <w:jc w:val="center"/>
              <w:rPr>
                <w:rFonts w:hint="eastAsia" w:ascii="宋体" w:hAnsi="宋体" w:cs="宋体"/>
                <w:color w:val="auto"/>
                <w:sz w:val="21"/>
                <w:szCs w:val="21"/>
                <w:lang w:bidi="ar"/>
              </w:rPr>
            </w:pPr>
            <w:r>
              <w:rPr>
                <w:rFonts w:hint="eastAsia" w:cs="Arial"/>
                <w:color w:val="auto"/>
                <w:sz w:val="21"/>
                <w:szCs w:val="21"/>
                <w:lang w:val="fr-FR"/>
              </w:rPr>
              <w:t>套</w:t>
            </w:r>
          </w:p>
        </w:tc>
        <w:tc>
          <w:tcPr>
            <w:tcW w:w="453" w:type="pct"/>
            <w:vAlign w:val="center"/>
          </w:tcPr>
          <w:p w14:paraId="05D8036A">
            <w:pPr>
              <w:snapToGrid w:val="0"/>
              <w:spacing w:line="240" w:lineRule="exact"/>
              <w:jc w:val="center"/>
              <w:rPr>
                <w:rFonts w:hint="eastAsia" w:ascii="宋体" w:hAnsi="宋体" w:cs="宋体"/>
                <w:color w:val="auto"/>
                <w:sz w:val="21"/>
                <w:szCs w:val="21"/>
                <w:lang w:bidi="ar"/>
              </w:rPr>
            </w:pPr>
            <w:r>
              <w:rPr>
                <w:rFonts w:hint="eastAsia" w:cs="宋体"/>
                <w:color w:val="auto"/>
                <w:sz w:val="21"/>
                <w:szCs w:val="21"/>
              </w:rPr>
              <w:t>6</w:t>
            </w:r>
          </w:p>
        </w:tc>
        <w:tc>
          <w:tcPr>
            <w:tcW w:w="1929" w:type="pct"/>
            <w:vAlign w:val="center"/>
          </w:tcPr>
          <w:p w14:paraId="4B07A245">
            <w:pPr>
              <w:snapToGrid w:val="0"/>
              <w:spacing w:line="240" w:lineRule="exact"/>
              <w:jc w:val="center"/>
              <w:rPr>
                <w:color w:val="auto"/>
                <w:sz w:val="21"/>
                <w:szCs w:val="21"/>
              </w:rPr>
            </w:pPr>
          </w:p>
        </w:tc>
      </w:tr>
      <w:tr w14:paraId="59734FE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17" w:type="pct"/>
            <w:vAlign w:val="center"/>
          </w:tcPr>
          <w:p w14:paraId="4C40445E">
            <w:pPr>
              <w:snapToGrid w:val="0"/>
              <w:spacing w:line="240" w:lineRule="exact"/>
              <w:jc w:val="center"/>
              <w:rPr>
                <w:rFonts w:cs="宋体"/>
                <w:color w:val="auto"/>
                <w:sz w:val="21"/>
                <w:szCs w:val="21"/>
              </w:rPr>
            </w:pPr>
            <w:r>
              <w:rPr>
                <w:rFonts w:hint="eastAsia" w:cs="宋体"/>
                <w:color w:val="auto"/>
                <w:sz w:val="21"/>
                <w:szCs w:val="21"/>
              </w:rPr>
              <w:t>22</w:t>
            </w:r>
          </w:p>
        </w:tc>
        <w:tc>
          <w:tcPr>
            <w:tcW w:w="1807" w:type="pct"/>
            <w:vAlign w:val="center"/>
          </w:tcPr>
          <w:p w14:paraId="588BAFAD">
            <w:pPr>
              <w:snapToGrid w:val="0"/>
              <w:spacing w:line="240" w:lineRule="exact"/>
              <w:jc w:val="center"/>
              <w:rPr>
                <w:rFonts w:hint="eastAsia" w:ascii="宋体" w:hAnsi="宋体" w:cs="宋体"/>
                <w:color w:val="auto"/>
                <w:sz w:val="21"/>
                <w:szCs w:val="21"/>
                <w:lang w:bidi="ar"/>
              </w:rPr>
            </w:pPr>
            <w:r>
              <w:rPr>
                <w:rFonts w:hint="eastAsia"/>
                <w:color w:val="auto"/>
                <w:sz w:val="21"/>
                <w:szCs w:val="21"/>
              </w:rPr>
              <w:t>出厂文件</w:t>
            </w:r>
          </w:p>
        </w:tc>
        <w:tc>
          <w:tcPr>
            <w:tcW w:w="392" w:type="pct"/>
            <w:vAlign w:val="center"/>
          </w:tcPr>
          <w:p w14:paraId="01DF5E69">
            <w:pPr>
              <w:snapToGrid w:val="0"/>
              <w:spacing w:line="240" w:lineRule="exact"/>
              <w:jc w:val="center"/>
              <w:rPr>
                <w:rFonts w:hint="eastAsia" w:ascii="宋体" w:hAnsi="宋体" w:cs="宋体"/>
                <w:color w:val="auto"/>
                <w:sz w:val="21"/>
                <w:szCs w:val="21"/>
                <w:lang w:bidi="ar"/>
              </w:rPr>
            </w:pPr>
            <w:r>
              <w:rPr>
                <w:rFonts w:hint="eastAsia" w:cs="Arial"/>
                <w:color w:val="auto"/>
                <w:sz w:val="21"/>
                <w:szCs w:val="21"/>
                <w:lang w:val="fr-FR"/>
              </w:rPr>
              <w:t>套</w:t>
            </w:r>
          </w:p>
        </w:tc>
        <w:tc>
          <w:tcPr>
            <w:tcW w:w="453" w:type="pct"/>
            <w:vAlign w:val="center"/>
          </w:tcPr>
          <w:p w14:paraId="71359E76">
            <w:pPr>
              <w:snapToGrid w:val="0"/>
              <w:spacing w:line="240" w:lineRule="exact"/>
              <w:jc w:val="center"/>
              <w:rPr>
                <w:rFonts w:hint="eastAsia" w:ascii="宋体" w:hAnsi="宋体" w:cs="宋体"/>
                <w:color w:val="auto"/>
                <w:sz w:val="21"/>
                <w:szCs w:val="21"/>
                <w:lang w:bidi="ar"/>
              </w:rPr>
            </w:pPr>
            <w:r>
              <w:rPr>
                <w:rFonts w:cs="宋体"/>
                <w:color w:val="auto"/>
                <w:sz w:val="21"/>
                <w:szCs w:val="21"/>
              </w:rPr>
              <w:t>1</w:t>
            </w:r>
          </w:p>
        </w:tc>
        <w:tc>
          <w:tcPr>
            <w:tcW w:w="1929" w:type="pct"/>
            <w:vAlign w:val="center"/>
          </w:tcPr>
          <w:p w14:paraId="310CF72D">
            <w:pPr>
              <w:snapToGrid w:val="0"/>
              <w:spacing w:line="240" w:lineRule="exact"/>
              <w:jc w:val="center"/>
              <w:rPr>
                <w:color w:val="auto"/>
                <w:sz w:val="21"/>
                <w:szCs w:val="21"/>
              </w:rPr>
            </w:pPr>
            <w:r>
              <w:rPr>
                <w:rFonts w:hint="eastAsia" w:cs="宋体"/>
                <w:color w:val="auto"/>
                <w:sz w:val="21"/>
                <w:szCs w:val="21"/>
              </w:rPr>
              <w:t>每套设备1套文件</w:t>
            </w:r>
          </w:p>
        </w:tc>
      </w:tr>
    </w:tbl>
    <w:p w14:paraId="37CCAFCD">
      <w:pPr>
        <w:pStyle w:val="10"/>
        <w:spacing w:line="300" w:lineRule="exact"/>
        <w:ind w:firstLine="360"/>
        <w:rPr>
          <w:rFonts w:hint="eastAsia"/>
          <w:color w:val="auto"/>
        </w:rPr>
      </w:pPr>
      <w:r>
        <w:rPr>
          <w:rFonts w:hint="eastAsia"/>
          <w:color w:val="auto"/>
        </w:rPr>
        <w:t>注1：投标人应按照铁路总公司装备技术政策配置要求提供设备</w:t>
      </w:r>
    </w:p>
    <w:p w14:paraId="42811A5F">
      <w:pPr>
        <w:pStyle w:val="10"/>
        <w:spacing w:line="300" w:lineRule="exact"/>
        <w:ind w:firstLine="360"/>
        <w:rPr>
          <w:rFonts w:hint="eastAsia"/>
          <w:color w:val="auto"/>
        </w:rPr>
      </w:pPr>
      <w:r>
        <w:rPr>
          <w:rFonts w:hint="eastAsia"/>
          <w:color w:val="auto"/>
        </w:rPr>
        <w:t>注2：投标人应提供主要材料的原产厂家清单。</w:t>
      </w:r>
    </w:p>
    <w:p w14:paraId="6DDD929D">
      <w:pPr>
        <w:pStyle w:val="10"/>
        <w:spacing w:line="300" w:lineRule="exact"/>
        <w:ind w:firstLine="360"/>
        <w:rPr>
          <w:rFonts w:hint="eastAsia"/>
          <w:color w:val="auto"/>
        </w:rPr>
      </w:pPr>
      <w:r>
        <w:rPr>
          <w:rFonts w:hint="eastAsia"/>
          <w:color w:val="auto"/>
        </w:rPr>
        <w:t>注3：投标人必须提供上述所有项目的分项价格清单及总价。</w:t>
      </w:r>
    </w:p>
    <w:p w14:paraId="684E84A6">
      <w:pPr>
        <w:pStyle w:val="10"/>
        <w:spacing w:line="300" w:lineRule="exact"/>
        <w:ind w:firstLine="360"/>
        <w:rPr>
          <w:rFonts w:hint="eastAsia"/>
          <w:color w:val="auto"/>
        </w:rPr>
      </w:pPr>
      <w:r>
        <w:rPr>
          <w:rFonts w:hint="eastAsia"/>
          <w:color w:val="auto"/>
        </w:rPr>
        <w:t>注4：货物需求清单的设备中均包括设备之间的光尾纤（含接头）、75Ω同轴电缆（含接头）、RJ45电缆（含接头）、信号和电源配线、设备地线、跳线，所供应设备至其他设备、电缆配电箱、交、直流电源间的配线（包括插头及插座）等均应由投标人提供。长度暂按不小于10米估列，在工程实施时以现场勘测为准，在实施阶段不足部分应免费提供或更换。系统中用到的所用1/2跳线均采用成品跳线。所有线缆要求为低烟无卤阻燃型。</w:t>
      </w:r>
    </w:p>
    <w:p w14:paraId="2743B8A3">
      <w:pPr>
        <w:pStyle w:val="10"/>
        <w:spacing w:line="300" w:lineRule="exact"/>
        <w:ind w:firstLine="360"/>
        <w:rPr>
          <w:rFonts w:hint="eastAsia"/>
          <w:color w:val="auto"/>
        </w:rPr>
      </w:pPr>
      <w:r>
        <w:rPr>
          <w:rFonts w:hint="eastAsia"/>
          <w:color w:val="auto"/>
        </w:rPr>
        <w:t>注5：每套天线馈线包含天线、馈线（二根）、功分器、耦合器、接头、跳线、负载、馈线卡具和防水件等。馈线长度不大于60m时，宜使用7/8″射频电缆，馈线长度大于60米，宜使用1-1/4″射频电缆。每处馈线长度按</w:t>
      </w:r>
      <w:r>
        <w:rPr>
          <w:color w:val="auto"/>
        </w:rPr>
        <w:t>6</w:t>
      </w:r>
      <w:r>
        <w:rPr>
          <w:rFonts w:hint="eastAsia"/>
          <w:color w:val="auto"/>
        </w:rPr>
        <w:t>0m/根报价，在实施阶段馈线长度实际长度根据施工图数量配置，不足部分应免费提供或更换。</w:t>
      </w:r>
    </w:p>
    <w:p w14:paraId="6C0F0101">
      <w:pPr>
        <w:pStyle w:val="10"/>
        <w:spacing w:line="300" w:lineRule="exact"/>
        <w:ind w:firstLine="360"/>
        <w:rPr>
          <w:rFonts w:hint="eastAsia"/>
          <w:color w:val="auto"/>
        </w:rPr>
      </w:pPr>
      <w:r>
        <w:rPr>
          <w:rFonts w:hint="eastAsia"/>
          <w:color w:val="auto"/>
        </w:rPr>
        <w:t>注6：表中数量为施工图数量，上述设备的数量、规格型号、设备配置及技术标准等应满足招标文件要求，工程实施中经招标人同意可根据施工图部分调整或补充，招标人保留在实施阶段修改上述数量的权利。</w:t>
      </w:r>
    </w:p>
    <w:p w14:paraId="16A6819F">
      <w:pPr>
        <w:pStyle w:val="10"/>
        <w:spacing w:line="300" w:lineRule="exact"/>
        <w:ind w:firstLine="360"/>
        <w:rPr>
          <w:rFonts w:hint="eastAsia"/>
          <w:color w:val="auto"/>
        </w:rPr>
      </w:pPr>
      <w:r>
        <w:rPr>
          <w:rFonts w:hint="eastAsia"/>
          <w:color w:val="auto"/>
        </w:rPr>
        <w:t>注7：投标人需提供并线区段、山区覆盖等的优化方案，并对优化方案负责。</w:t>
      </w:r>
    </w:p>
    <w:p w14:paraId="0CC766CA">
      <w:pPr>
        <w:pStyle w:val="10"/>
        <w:spacing w:line="300" w:lineRule="exact"/>
        <w:ind w:firstLine="360"/>
        <w:rPr>
          <w:rFonts w:hint="eastAsia"/>
          <w:color w:val="auto"/>
        </w:rPr>
      </w:pPr>
      <w:r>
        <w:rPr>
          <w:rFonts w:hint="eastAsia"/>
          <w:color w:val="auto"/>
        </w:rPr>
        <w:t>注8：网管系统等需要考虑包含打印机、交换机、Modem、电源插座、桌椅等辅助设备的配置。</w:t>
      </w:r>
    </w:p>
    <w:p w14:paraId="58BF056F">
      <w:pPr>
        <w:pStyle w:val="10"/>
        <w:spacing w:line="300" w:lineRule="exact"/>
        <w:ind w:firstLine="360"/>
        <w:rPr>
          <w:rFonts w:hint="eastAsia"/>
          <w:color w:val="auto"/>
        </w:rPr>
      </w:pPr>
      <w:r>
        <w:rPr>
          <w:rFonts w:hint="eastAsia"/>
          <w:color w:val="auto"/>
        </w:rPr>
        <w:t>注1</w:t>
      </w:r>
      <w:r>
        <w:rPr>
          <w:color w:val="auto"/>
        </w:rPr>
        <w:t>1</w:t>
      </w:r>
      <w:r>
        <w:rPr>
          <w:rFonts w:hint="eastAsia"/>
          <w:color w:val="auto"/>
        </w:rPr>
        <w:t>：工程准备或实施过程中，投标人应积极配合业主、招标人组织的方案优化和可能的设备整合，并按照整合后的规格型号进行供货，以满足工程开通需要。</w:t>
      </w:r>
    </w:p>
    <w:p w14:paraId="33405A0D">
      <w:pPr>
        <w:pStyle w:val="10"/>
        <w:spacing w:line="300" w:lineRule="exact"/>
        <w:ind w:firstLine="360"/>
        <w:rPr>
          <w:rFonts w:hint="eastAsia"/>
          <w:color w:val="auto"/>
        </w:rPr>
      </w:pPr>
      <w:r>
        <w:rPr>
          <w:rFonts w:hint="eastAsia"/>
          <w:color w:val="auto"/>
        </w:rPr>
        <w:t>注1</w:t>
      </w:r>
      <w:r>
        <w:rPr>
          <w:color w:val="auto"/>
        </w:rPr>
        <w:t>2</w:t>
      </w:r>
      <w:r>
        <w:rPr>
          <w:rFonts w:hint="eastAsia"/>
          <w:color w:val="auto"/>
        </w:rPr>
        <w:t>：本次报价包含调试工作、网络优化工作。投标人应进行所有优化参数设置及修改，并能提出网络优化的相关技术方案。</w:t>
      </w:r>
    </w:p>
    <w:p w14:paraId="46CB7FAF">
      <w:pPr>
        <w:pStyle w:val="10"/>
        <w:spacing w:line="300" w:lineRule="exact"/>
        <w:ind w:firstLine="360"/>
        <w:rPr>
          <w:rFonts w:hint="eastAsia"/>
          <w:color w:val="auto"/>
        </w:rPr>
      </w:pPr>
      <w:r>
        <w:rPr>
          <w:rFonts w:hint="eastAsia"/>
          <w:color w:val="auto"/>
        </w:rPr>
        <w:t>注1</w:t>
      </w:r>
      <w:r>
        <w:rPr>
          <w:color w:val="auto"/>
        </w:rPr>
        <w:t>3</w:t>
      </w:r>
      <w:r>
        <w:rPr>
          <w:rFonts w:hint="eastAsia"/>
          <w:color w:val="auto"/>
        </w:rPr>
        <w:t>：本次报价包含工程服务、系统联调、验收测试、网络优化、验收、与其他铁路并线交叉所引起既有线及基站调整、临时与过渡工程互联配合等相关工作，应能够满足工程实际开通需要。</w:t>
      </w:r>
    </w:p>
    <w:p w14:paraId="07EE4A0C">
      <w:pPr>
        <w:pStyle w:val="10"/>
        <w:spacing w:line="300" w:lineRule="exact"/>
        <w:ind w:firstLine="360"/>
        <w:rPr>
          <w:rFonts w:hint="eastAsia"/>
          <w:color w:val="auto"/>
        </w:rPr>
      </w:pPr>
      <w:r>
        <w:rPr>
          <w:rFonts w:hint="eastAsia"/>
          <w:color w:val="auto"/>
        </w:rPr>
        <w:t>注1</w:t>
      </w:r>
      <w:r>
        <w:rPr>
          <w:color w:val="auto"/>
        </w:rPr>
        <w:t>4</w:t>
      </w:r>
      <w:r>
        <w:rPr>
          <w:rFonts w:hint="eastAsia"/>
          <w:color w:val="auto"/>
        </w:rPr>
        <w:t>：本次报价包含质量保证期内性能保证、及技术服务等工作。</w:t>
      </w:r>
    </w:p>
    <w:p w14:paraId="5B9B704B">
      <w:pPr>
        <w:pStyle w:val="8"/>
        <w:rPr>
          <w:rFonts w:hint="eastAsia"/>
          <w:color w:val="auto"/>
          <w:sz w:val="21"/>
          <w:szCs w:val="21"/>
        </w:rPr>
      </w:pPr>
      <w:bookmarkStart w:id="27" w:name="_Toc436830271"/>
      <w:bookmarkEnd w:id="27"/>
      <w:bookmarkStart w:id="28" w:name="_Toc435523790"/>
      <w:bookmarkEnd w:id="28"/>
      <w:bookmarkStart w:id="29" w:name="_Toc435524993"/>
      <w:bookmarkEnd w:id="29"/>
      <w:bookmarkStart w:id="30" w:name="_Toc435524006"/>
      <w:bookmarkEnd w:id="30"/>
      <w:bookmarkStart w:id="31" w:name="_Toc435524005"/>
      <w:bookmarkEnd w:id="31"/>
      <w:bookmarkStart w:id="32" w:name="_Toc435524016"/>
      <w:bookmarkEnd w:id="32"/>
      <w:bookmarkStart w:id="33" w:name="_Toc435524004"/>
      <w:bookmarkEnd w:id="33"/>
      <w:bookmarkStart w:id="34" w:name="_Toc435523785"/>
      <w:bookmarkEnd w:id="34"/>
      <w:bookmarkStart w:id="35" w:name="_Toc435523997"/>
      <w:bookmarkEnd w:id="35"/>
      <w:bookmarkStart w:id="36" w:name="_Toc435524998"/>
      <w:bookmarkEnd w:id="36"/>
      <w:bookmarkStart w:id="37" w:name="_Toc436830252"/>
      <w:bookmarkEnd w:id="37"/>
      <w:bookmarkStart w:id="38" w:name="_Toc435524007"/>
      <w:bookmarkEnd w:id="38"/>
      <w:bookmarkStart w:id="39" w:name="_Toc435525001"/>
      <w:bookmarkEnd w:id="39"/>
      <w:bookmarkStart w:id="40" w:name="_Toc436830249"/>
      <w:bookmarkEnd w:id="40"/>
      <w:bookmarkStart w:id="41" w:name="_Toc435524996"/>
      <w:bookmarkEnd w:id="41"/>
      <w:bookmarkStart w:id="42" w:name="_Toc435524000"/>
      <w:bookmarkEnd w:id="42"/>
      <w:bookmarkStart w:id="43" w:name="_Toc435523787"/>
      <w:bookmarkEnd w:id="43"/>
      <w:bookmarkStart w:id="44" w:name="_Toc436830250"/>
      <w:bookmarkEnd w:id="44"/>
      <w:bookmarkStart w:id="45" w:name="_Toc436830264"/>
      <w:bookmarkEnd w:id="45"/>
      <w:bookmarkStart w:id="46" w:name="_Toc436830248"/>
      <w:bookmarkEnd w:id="46"/>
      <w:bookmarkStart w:id="47" w:name="_Toc435523998"/>
      <w:bookmarkEnd w:id="47"/>
      <w:bookmarkStart w:id="48" w:name="_Toc435523999"/>
      <w:bookmarkEnd w:id="48"/>
      <w:bookmarkStart w:id="49" w:name="_Toc436830255"/>
      <w:bookmarkEnd w:id="49"/>
      <w:bookmarkStart w:id="50" w:name="_Toc436830247"/>
      <w:bookmarkEnd w:id="50"/>
      <w:bookmarkStart w:id="51" w:name="_Toc435524992"/>
      <w:bookmarkEnd w:id="51"/>
      <w:bookmarkStart w:id="52" w:name="_Toc435524023"/>
      <w:bookmarkEnd w:id="52"/>
      <w:bookmarkStart w:id="53" w:name="_Toc435525000"/>
      <w:bookmarkEnd w:id="53"/>
      <w:bookmarkStart w:id="54" w:name="_Toc435523811"/>
      <w:bookmarkEnd w:id="54"/>
      <w:bookmarkStart w:id="55" w:name="_Toc435523786"/>
      <w:bookmarkEnd w:id="55"/>
      <w:bookmarkStart w:id="56" w:name="_Toc435523788"/>
      <w:bookmarkEnd w:id="56"/>
      <w:bookmarkStart w:id="57" w:name="_Toc435523794"/>
      <w:bookmarkEnd w:id="57"/>
      <w:bookmarkStart w:id="58" w:name="_Toc435524003"/>
      <w:bookmarkEnd w:id="58"/>
      <w:bookmarkStart w:id="59" w:name="_Toc435524002"/>
      <w:bookmarkEnd w:id="59"/>
      <w:bookmarkStart w:id="60" w:name="_Toc435524991"/>
      <w:bookmarkEnd w:id="60"/>
      <w:bookmarkStart w:id="61" w:name="_Toc435524995"/>
      <w:bookmarkEnd w:id="61"/>
      <w:bookmarkStart w:id="62" w:name="_Toc436830245"/>
      <w:bookmarkEnd w:id="62"/>
      <w:bookmarkStart w:id="63" w:name="_Toc435523804"/>
      <w:bookmarkEnd w:id="63"/>
      <w:bookmarkStart w:id="64" w:name="_Toc435523784"/>
      <w:bookmarkEnd w:id="64"/>
      <w:bookmarkStart w:id="65" w:name="_Toc436830251"/>
      <w:bookmarkEnd w:id="65"/>
      <w:bookmarkStart w:id="66" w:name="_Toc435523789"/>
      <w:bookmarkEnd w:id="66"/>
      <w:bookmarkStart w:id="67" w:name="_Toc435523791"/>
      <w:bookmarkEnd w:id="67"/>
      <w:bookmarkStart w:id="68" w:name="_Toc435525010"/>
      <w:bookmarkEnd w:id="68"/>
      <w:bookmarkStart w:id="69" w:name="_Toc435524997"/>
      <w:bookmarkEnd w:id="69"/>
      <w:bookmarkStart w:id="70" w:name="_Toc435524994"/>
      <w:bookmarkEnd w:id="70"/>
      <w:bookmarkStart w:id="71" w:name="_Toc435523792"/>
      <w:bookmarkEnd w:id="71"/>
      <w:bookmarkStart w:id="72" w:name="_Toc436830254"/>
      <w:bookmarkEnd w:id="72"/>
      <w:bookmarkStart w:id="73" w:name="_Toc435524999"/>
      <w:bookmarkEnd w:id="73"/>
      <w:bookmarkStart w:id="74" w:name="_Toc435525017"/>
      <w:bookmarkEnd w:id="74"/>
      <w:bookmarkStart w:id="75" w:name="_Toc435524001"/>
      <w:bookmarkEnd w:id="75"/>
      <w:bookmarkStart w:id="76" w:name="_Toc436830246"/>
      <w:bookmarkEnd w:id="76"/>
      <w:bookmarkStart w:id="77" w:name="_Toc436830253"/>
      <w:bookmarkEnd w:id="77"/>
      <w:bookmarkStart w:id="78" w:name="_Toc435523793"/>
      <w:bookmarkEnd w:id="78"/>
      <w:bookmarkStart w:id="79" w:name="_Toc968"/>
      <w:r>
        <w:rPr>
          <w:rFonts w:hint="eastAsia"/>
          <w:color w:val="auto"/>
          <w:sz w:val="21"/>
          <w:szCs w:val="21"/>
        </w:rPr>
        <w:t>2.备品备件需求一览表</w:t>
      </w:r>
      <w:bookmarkEnd w:id="79"/>
    </w:p>
    <w:tbl>
      <w:tblPr>
        <w:tblStyle w:val="4"/>
        <w:tblW w:w="8844"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54" w:type="dxa"/>
          <w:bottom w:w="0" w:type="dxa"/>
          <w:right w:w="54" w:type="dxa"/>
        </w:tblCellMar>
      </w:tblPr>
      <w:tblGrid>
        <w:gridCol w:w="546"/>
        <w:gridCol w:w="3288"/>
        <w:gridCol w:w="1182"/>
        <w:gridCol w:w="669"/>
        <w:gridCol w:w="697"/>
        <w:gridCol w:w="2462"/>
      </w:tblGrid>
      <w:tr w14:paraId="25F34AD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4" w:type="dxa"/>
            <w:bottom w:w="0" w:type="dxa"/>
            <w:right w:w="54" w:type="dxa"/>
          </w:tblCellMar>
        </w:tblPrEx>
        <w:trPr>
          <w:cantSplit/>
          <w:trHeight w:val="283" w:hRule="atLeast"/>
          <w:jc w:val="center"/>
        </w:trPr>
        <w:tc>
          <w:tcPr>
            <w:tcW w:w="309" w:type="pct"/>
            <w:vAlign w:val="center"/>
          </w:tcPr>
          <w:p w14:paraId="752FE774">
            <w:pPr>
              <w:snapToGrid w:val="0"/>
              <w:spacing w:line="240" w:lineRule="exact"/>
              <w:jc w:val="center"/>
              <w:rPr>
                <w:color w:val="auto"/>
                <w:sz w:val="21"/>
                <w:szCs w:val="21"/>
              </w:rPr>
            </w:pPr>
            <w:r>
              <w:rPr>
                <w:rFonts w:hint="eastAsia"/>
                <w:color w:val="auto"/>
                <w:sz w:val="21"/>
                <w:szCs w:val="21"/>
              </w:rPr>
              <w:t>序号</w:t>
            </w:r>
          </w:p>
        </w:tc>
        <w:tc>
          <w:tcPr>
            <w:tcW w:w="1859" w:type="pct"/>
            <w:vAlign w:val="center"/>
          </w:tcPr>
          <w:p w14:paraId="49CF30CC">
            <w:pPr>
              <w:snapToGrid w:val="0"/>
              <w:spacing w:line="240" w:lineRule="exact"/>
              <w:jc w:val="center"/>
              <w:rPr>
                <w:color w:val="auto"/>
                <w:sz w:val="21"/>
                <w:szCs w:val="21"/>
              </w:rPr>
            </w:pPr>
            <w:r>
              <w:rPr>
                <w:rFonts w:hint="eastAsia"/>
                <w:color w:val="auto"/>
                <w:sz w:val="21"/>
                <w:szCs w:val="21"/>
              </w:rPr>
              <w:t>物   资  名  称</w:t>
            </w:r>
          </w:p>
        </w:tc>
        <w:tc>
          <w:tcPr>
            <w:tcW w:w="668" w:type="pct"/>
            <w:vAlign w:val="center"/>
          </w:tcPr>
          <w:p w14:paraId="2C8FCC11">
            <w:pPr>
              <w:snapToGrid w:val="0"/>
              <w:spacing w:line="240" w:lineRule="exact"/>
              <w:jc w:val="center"/>
              <w:rPr>
                <w:color w:val="auto"/>
                <w:sz w:val="21"/>
                <w:szCs w:val="21"/>
              </w:rPr>
            </w:pPr>
            <w:r>
              <w:rPr>
                <w:rFonts w:hint="eastAsia"/>
                <w:color w:val="auto"/>
                <w:sz w:val="21"/>
                <w:szCs w:val="21"/>
              </w:rPr>
              <w:t>设 备 配 置</w:t>
            </w:r>
          </w:p>
        </w:tc>
        <w:tc>
          <w:tcPr>
            <w:tcW w:w="378" w:type="pct"/>
            <w:vAlign w:val="center"/>
          </w:tcPr>
          <w:p w14:paraId="2394665E">
            <w:pPr>
              <w:snapToGrid w:val="0"/>
              <w:spacing w:line="240" w:lineRule="exact"/>
              <w:jc w:val="center"/>
              <w:rPr>
                <w:color w:val="auto"/>
                <w:sz w:val="21"/>
                <w:szCs w:val="21"/>
              </w:rPr>
            </w:pPr>
            <w:r>
              <w:rPr>
                <w:rFonts w:hint="eastAsia"/>
                <w:color w:val="auto"/>
                <w:sz w:val="21"/>
                <w:szCs w:val="21"/>
              </w:rPr>
              <w:t>单 位</w:t>
            </w:r>
          </w:p>
        </w:tc>
        <w:tc>
          <w:tcPr>
            <w:tcW w:w="394" w:type="pct"/>
            <w:vAlign w:val="center"/>
          </w:tcPr>
          <w:p w14:paraId="0F27F4D9">
            <w:pPr>
              <w:snapToGrid w:val="0"/>
              <w:spacing w:line="240" w:lineRule="exact"/>
              <w:jc w:val="center"/>
              <w:rPr>
                <w:color w:val="auto"/>
                <w:sz w:val="21"/>
                <w:szCs w:val="21"/>
              </w:rPr>
            </w:pPr>
            <w:r>
              <w:rPr>
                <w:rFonts w:hint="eastAsia"/>
                <w:color w:val="auto"/>
                <w:sz w:val="21"/>
                <w:szCs w:val="21"/>
              </w:rPr>
              <w:t>数 量</w:t>
            </w:r>
          </w:p>
        </w:tc>
        <w:tc>
          <w:tcPr>
            <w:tcW w:w="1392" w:type="pct"/>
            <w:vAlign w:val="center"/>
          </w:tcPr>
          <w:p w14:paraId="0AE8F45D">
            <w:pPr>
              <w:snapToGrid w:val="0"/>
              <w:spacing w:line="240" w:lineRule="exact"/>
              <w:jc w:val="center"/>
              <w:rPr>
                <w:color w:val="auto"/>
                <w:sz w:val="21"/>
                <w:szCs w:val="21"/>
              </w:rPr>
            </w:pPr>
            <w:r>
              <w:rPr>
                <w:rFonts w:hint="eastAsia"/>
                <w:color w:val="auto"/>
                <w:sz w:val="21"/>
                <w:szCs w:val="21"/>
              </w:rPr>
              <w:t>备 注</w:t>
            </w:r>
          </w:p>
        </w:tc>
      </w:tr>
      <w:tr w14:paraId="71EF0E3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4" w:type="dxa"/>
            <w:bottom w:w="0" w:type="dxa"/>
            <w:right w:w="54" w:type="dxa"/>
          </w:tblCellMar>
        </w:tblPrEx>
        <w:trPr>
          <w:cantSplit/>
          <w:trHeight w:val="283" w:hRule="atLeast"/>
          <w:jc w:val="center"/>
        </w:trPr>
        <w:tc>
          <w:tcPr>
            <w:tcW w:w="309" w:type="pct"/>
            <w:vAlign w:val="center"/>
          </w:tcPr>
          <w:p w14:paraId="018BA0CF">
            <w:pPr>
              <w:snapToGrid w:val="0"/>
              <w:spacing w:line="240" w:lineRule="exact"/>
              <w:jc w:val="center"/>
              <w:rPr>
                <w:color w:val="auto"/>
                <w:sz w:val="21"/>
                <w:szCs w:val="21"/>
              </w:rPr>
            </w:pPr>
            <w:r>
              <w:rPr>
                <w:rFonts w:hint="eastAsia"/>
                <w:color w:val="auto"/>
                <w:sz w:val="21"/>
                <w:szCs w:val="21"/>
              </w:rPr>
              <w:t>1</w:t>
            </w:r>
          </w:p>
        </w:tc>
        <w:tc>
          <w:tcPr>
            <w:tcW w:w="1859" w:type="pct"/>
            <w:vAlign w:val="center"/>
          </w:tcPr>
          <w:p w14:paraId="64A4D23B">
            <w:pPr>
              <w:snapToGrid w:val="0"/>
              <w:spacing w:line="240" w:lineRule="exact"/>
              <w:jc w:val="center"/>
              <w:rPr>
                <w:color w:val="auto"/>
                <w:sz w:val="21"/>
                <w:szCs w:val="21"/>
              </w:rPr>
            </w:pPr>
            <w:r>
              <w:rPr>
                <w:rFonts w:hint="eastAsia"/>
                <w:color w:val="auto"/>
                <w:sz w:val="21"/>
                <w:szCs w:val="21"/>
              </w:rPr>
              <w:t>质量保证期内所需备品、备件</w:t>
            </w:r>
          </w:p>
        </w:tc>
        <w:tc>
          <w:tcPr>
            <w:tcW w:w="668" w:type="pct"/>
            <w:vAlign w:val="center"/>
          </w:tcPr>
          <w:p w14:paraId="222201A5">
            <w:pPr>
              <w:snapToGrid w:val="0"/>
              <w:spacing w:line="240" w:lineRule="exact"/>
              <w:jc w:val="center"/>
              <w:rPr>
                <w:color w:val="auto"/>
                <w:sz w:val="21"/>
                <w:szCs w:val="21"/>
              </w:rPr>
            </w:pPr>
          </w:p>
        </w:tc>
        <w:tc>
          <w:tcPr>
            <w:tcW w:w="378" w:type="pct"/>
            <w:vAlign w:val="center"/>
          </w:tcPr>
          <w:p w14:paraId="0DA5DE94">
            <w:pPr>
              <w:snapToGrid w:val="0"/>
              <w:spacing w:line="240" w:lineRule="exact"/>
              <w:jc w:val="center"/>
              <w:rPr>
                <w:color w:val="auto"/>
                <w:sz w:val="21"/>
                <w:szCs w:val="21"/>
              </w:rPr>
            </w:pPr>
            <w:r>
              <w:rPr>
                <w:rFonts w:hint="eastAsia"/>
                <w:color w:val="auto"/>
                <w:sz w:val="21"/>
                <w:szCs w:val="21"/>
              </w:rPr>
              <w:t>项</w:t>
            </w:r>
          </w:p>
        </w:tc>
        <w:tc>
          <w:tcPr>
            <w:tcW w:w="394" w:type="pct"/>
            <w:vAlign w:val="center"/>
          </w:tcPr>
          <w:p w14:paraId="2F5879C1">
            <w:pPr>
              <w:snapToGrid w:val="0"/>
              <w:spacing w:line="240" w:lineRule="exact"/>
              <w:jc w:val="center"/>
              <w:rPr>
                <w:color w:val="auto"/>
                <w:sz w:val="21"/>
                <w:szCs w:val="21"/>
              </w:rPr>
            </w:pPr>
            <w:r>
              <w:rPr>
                <w:color w:val="auto"/>
                <w:sz w:val="21"/>
                <w:szCs w:val="21"/>
              </w:rPr>
              <w:t>1</w:t>
            </w:r>
          </w:p>
        </w:tc>
        <w:tc>
          <w:tcPr>
            <w:tcW w:w="1392" w:type="pct"/>
            <w:vAlign w:val="center"/>
          </w:tcPr>
          <w:p w14:paraId="7043BE79">
            <w:pPr>
              <w:snapToGrid w:val="0"/>
              <w:spacing w:line="240" w:lineRule="exact"/>
              <w:jc w:val="center"/>
              <w:rPr>
                <w:color w:val="auto"/>
                <w:sz w:val="21"/>
                <w:szCs w:val="21"/>
              </w:rPr>
            </w:pPr>
          </w:p>
        </w:tc>
      </w:tr>
      <w:tr w14:paraId="7C5F42C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4" w:type="dxa"/>
            <w:bottom w:w="0" w:type="dxa"/>
            <w:right w:w="54" w:type="dxa"/>
          </w:tblCellMar>
        </w:tblPrEx>
        <w:trPr>
          <w:cantSplit/>
          <w:trHeight w:val="283" w:hRule="atLeast"/>
          <w:jc w:val="center"/>
        </w:trPr>
        <w:tc>
          <w:tcPr>
            <w:tcW w:w="309" w:type="pct"/>
            <w:vAlign w:val="center"/>
          </w:tcPr>
          <w:p w14:paraId="7B01EB63">
            <w:pPr>
              <w:snapToGrid w:val="0"/>
              <w:spacing w:line="240" w:lineRule="exact"/>
              <w:jc w:val="center"/>
              <w:rPr>
                <w:color w:val="auto"/>
                <w:sz w:val="21"/>
                <w:szCs w:val="21"/>
              </w:rPr>
            </w:pPr>
            <w:r>
              <w:rPr>
                <w:rFonts w:hint="eastAsia"/>
                <w:color w:val="auto"/>
                <w:sz w:val="21"/>
                <w:szCs w:val="21"/>
              </w:rPr>
              <w:t>2</w:t>
            </w:r>
          </w:p>
        </w:tc>
        <w:tc>
          <w:tcPr>
            <w:tcW w:w="1859" w:type="pct"/>
            <w:vAlign w:val="center"/>
          </w:tcPr>
          <w:p w14:paraId="13B01BD8">
            <w:pPr>
              <w:snapToGrid w:val="0"/>
              <w:spacing w:line="240" w:lineRule="exact"/>
              <w:jc w:val="center"/>
              <w:rPr>
                <w:color w:val="auto"/>
                <w:sz w:val="21"/>
                <w:szCs w:val="21"/>
              </w:rPr>
            </w:pPr>
            <w:r>
              <w:rPr>
                <w:rFonts w:hint="eastAsia"/>
                <w:color w:val="auto"/>
                <w:sz w:val="21"/>
                <w:szCs w:val="21"/>
              </w:rPr>
              <w:t>应急抢修所需备品、备件</w:t>
            </w:r>
          </w:p>
        </w:tc>
        <w:tc>
          <w:tcPr>
            <w:tcW w:w="668" w:type="pct"/>
            <w:vAlign w:val="center"/>
          </w:tcPr>
          <w:p w14:paraId="6628F014">
            <w:pPr>
              <w:snapToGrid w:val="0"/>
              <w:spacing w:line="240" w:lineRule="exact"/>
              <w:jc w:val="center"/>
              <w:rPr>
                <w:rFonts w:cs="Arial"/>
                <w:color w:val="auto"/>
                <w:sz w:val="21"/>
                <w:szCs w:val="21"/>
                <w:lang w:val="fr-FR"/>
              </w:rPr>
            </w:pPr>
          </w:p>
        </w:tc>
        <w:tc>
          <w:tcPr>
            <w:tcW w:w="378" w:type="pct"/>
            <w:vAlign w:val="center"/>
          </w:tcPr>
          <w:p w14:paraId="4B8F1B76">
            <w:pPr>
              <w:snapToGrid w:val="0"/>
              <w:spacing w:line="240" w:lineRule="exact"/>
              <w:jc w:val="center"/>
              <w:rPr>
                <w:color w:val="auto"/>
                <w:sz w:val="21"/>
                <w:szCs w:val="21"/>
              </w:rPr>
            </w:pPr>
            <w:r>
              <w:rPr>
                <w:rFonts w:hint="eastAsia"/>
                <w:color w:val="auto"/>
                <w:sz w:val="21"/>
                <w:szCs w:val="21"/>
              </w:rPr>
              <w:t>项</w:t>
            </w:r>
          </w:p>
        </w:tc>
        <w:tc>
          <w:tcPr>
            <w:tcW w:w="394" w:type="pct"/>
            <w:vAlign w:val="center"/>
          </w:tcPr>
          <w:p w14:paraId="4C1D62CC">
            <w:pPr>
              <w:snapToGrid w:val="0"/>
              <w:spacing w:line="240" w:lineRule="exact"/>
              <w:jc w:val="center"/>
              <w:rPr>
                <w:color w:val="auto"/>
                <w:sz w:val="21"/>
                <w:szCs w:val="21"/>
              </w:rPr>
            </w:pPr>
            <w:r>
              <w:rPr>
                <w:color w:val="auto"/>
                <w:sz w:val="21"/>
                <w:szCs w:val="21"/>
              </w:rPr>
              <w:t>1</w:t>
            </w:r>
          </w:p>
        </w:tc>
        <w:tc>
          <w:tcPr>
            <w:tcW w:w="1392" w:type="pct"/>
            <w:vAlign w:val="center"/>
          </w:tcPr>
          <w:p w14:paraId="1E63F94A">
            <w:pPr>
              <w:snapToGrid w:val="0"/>
              <w:spacing w:line="240" w:lineRule="exact"/>
              <w:jc w:val="center"/>
              <w:rPr>
                <w:rFonts w:cs="Arial"/>
                <w:color w:val="auto"/>
                <w:sz w:val="21"/>
                <w:szCs w:val="21"/>
                <w:lang w:val="fr-FR"/>
              </w:rPr>
            </w:pPr>
          </w:p>
        </w:tc>
      </w:tr>
    </w:tbl>
    <w:p w14:paraId="6D92B824">
      <w:pPr>
        <w:pStyle w:val="10"/>
        <w:ind w:firstLine="360"/>
        <w:rPr>
          <w:rFonts w:hint="eastAsia"/>
          <w:color w:val="auto"/>
        </w:rPr>
      </w:pPr>
      <w:r>
        <w:rPr>
          <w:rFonts w:hint="eastAsia"/>
          <w:color w:val="auto"/>
        </w:rPr>
        <w:t>注1：质量保证期内所需备品备件必须保证缺陷责任期内系统正常运用维护的需要。</w:t>
      </w:r>
    </w:p>
    <w:p w14:paraId="30AF3F14">
      <w:pPr>
        <w:pStyle w:val="10"/>
        <w:ind w:firstLine="360"/>
        <w:rPr>
          <w:rFonts w:hint="eastAsia"/>
          <w:color w:val="auto"/>
        </w:rPr>
      </w:pPr>
      <w:r>
        <w:rPr>
          <w:rFonts w:hint="eastAsia"/>
          <w:color w:val="auto"/>
        </w:rPr>
        <w:t>注2：投标方按规定配置的通信工程备品备件，其数量应满足开通初期突发情况或突发事故的抢修需要。要求报出备件及消耗材料的清单（含名称、型号、规格、数量、单价、总价及计算方法），并计列在总报价中。</w:t>
      </w:r>
    </w:p>
    <w:p w14:paraId="5FBFADC8">
      <w:pPr>
        <w:pStyle w:val="10"/>
        <w:ind w:firstLine="420"/>
        <w:rPr>
          <w:rFonts w:hint="eastAsia"/>
          <w:color w:val="auto"/>
          <w:sz w:val="21"/>
          <w:szCs w:val="21"/>
        </w:rPr>
      </w:pPr>
      <w:r>
        <w:rPr>
          <w:rFonts w:hint="eastAsia"/>
          <w:color w:val="auto"/>
          <w:sz w:val="21"/>
          <w:szCs w:val="21"/>
        </w:rPr>
        <w:t>注3：投标方应提供施工及维护所必须的专用工器具清单。</w:t>
      </w:r>
    </w:p>
    <w:p w14:paraId="577ACAE4">
      <w:pPr>
        <w:pStyle w:val="8"/>
        <w:rPr>
          <w:rFonts w:hint="eastAsia"/>
          <w:color w:val="auto"/>
          <w:sz w:val="21"/>
          <w:szCs w:val="21"/>
        </w:rPr>
      </w:pPr>
      <w:bookmarkStart w:id="80" w:name="_Toc11145"/>
      <w:r>
        <w:rPr>
          <w:rFonts w:hint="eastAsia"/>
          <w:color w:val="auto"/>
          <w:sz w:val="21"/>
          <w:szCs w:val="21"/>
        </w:rPr>
        <w:t>3.服务需求一览表</w:t>
      </w:r>
      <w:bookmarkEnd w:id="80"/>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2218"/>
        <w:gridCol w:w="1714"/>
        <w:gridCol w:w="1928"/>
        <w:gridCol w:w="2677"/>
      </w:tblGrid>
      <w:tr w14:paraId="2588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37" w:type="dxa"/>
            <w:vAlign w:val="center"/>
          </w:tcPr>
          <w:p w14:paraId="1CC662A0">
            <w:pPr>
              <w:tabs>
                <w:tab w:val="left" w:pos="3105"/>
              </w:tabs>
              <w:spacing w:line="240" w:lineRule="exact"/>
              <w:jc w:val="center"/>
              <w:rPr>
                <w:color w:val="auto"/>
                <w:sz w:val="21"/>
                <w:szCs w:val="21"/>
                <w:lang w:val="fr-FR"/>
              </w:rPr>
            </w:pPr>
            <w:bookmarkStart w:id="81" w:name="_Toc8187"/>
            <w:bookmarkStart w:id="82" w:name="_Toc18907"/>
            <w:r>
              <w:rPr>
                <w:rFonts w:hint="eastAsia"/>
                <w:color w:val="auto"/>
                <w:sz w:val="21"/>
                <w:szCs w:val="21"/>
                <w:lang w:val="fr-FR"/>
              </w:rPr>
              <w:t>序号</w:t>
            </w:r>
            <w:bookmarkEnd w:id="81"/>
            <w:bookmarkEnd w:id="82"/>
          </w:p>
        </w:tc>
        <w:tc>
          <w:tcPr>
            <w:tcW w:w="2218" w:type="dxa"/>
            <w:vAlign w:val="center"/>
          </w:tcPr>
          <w:p w14:paraId="01C246C8">
            <w:pPr>
              <w:tabs>
                <w:tab w:val="left" w:pos="3105"/>
              </w:tabs>
              <w:spacing w:line="240" w:lineRule="exact"/>
              <w:jc w:val="center"/>
              <w:rPr>
                <w:color w:val="auto"/>
                <w:sz w:val="21"/>
                <w:szCs w:val="21"/>
                <w:lang w:val="fr-FR"/>
              </w:rPr>
            </w:pPr>
            <w:bookmarkStart w:id="83" w:name="_Toc27581"/>
            <w:bookmarkStart w:id="84" w:name="_Toc6849"/>
            <w:r>
              <w:rPr>
                <w:rFonts w:hint="eastAsia"/>
                <w:color w:val="auto"/>
                <w:sz w:val="21"/>
                <w:szCs w:val="21"/>
                <w:lang w:val="fr-FR"/>
              </w:rPr>
              <w:t>内容</w:t>
            </w:r>
            <w:bookmarkEnd w:id="83"/>
            <w:bookmarkEnd w:id="84"/>
          </w:p>
        </w:tc>
        <w:tc>
          <w:tcPr>
            <w:tcW w:w="1714" w:type="dxa"/>
            <w:vAlign w:val="center"/>
          </w:tcPr>
          <w:p w14:paraId="1522120B">
            <w:pPr>
              <w:tabs>
                <w:tab w:val="left" w:pos="3105"/>
              </w:tabs>
              <w:spacing w:line="240" w:lineRule="exact"/>
              <w:jc w:val="center"/>
              <w:rPr>
                <w:color w:val="auto"/>
                <w:sz w:val="21"/>
                <w:szCs w:val="21"/>
                <w:lang w:val="fr-FR"/>
              </w:rPr>
            </w:pPr>
            <w:bookmarkStart w:id="85" w:name="_Toc24918"/>
            <w:bookmarkStart w:id="86" w:name="_Toc21166"/>
            <w:r>
              <w:rPr>
                <w:rFonts w:hint="eastAsia"/>
                <w:color w:val="auto"/>
                <w:sz w:val="21"/>
                <w:szCs w:val="21"/>
                <w:lang w:val="fr-FR"/>
              </w:rPr>
              <w:t>数量</w:t>
            </w:r>
            <w:bookmarkEnd w:id="85"/>
            <w:bookmarkEnd w:id="86"/>
          </w:p>
        </w:tc>
        <w:tc>
          <w:tcPr>
            <w:tcW w:w="1928" w:type="dxa"/>
            <w:vAlign w:val="center"/>
          </w:tcPr>
          <w:p w14:paraId="571AE9FE">
            <w:pPr>
              <w:tabs>
                <w:tab w:val="left" w:pos="3105"/>
              </w:tabs>
              <w:spacing w:line="240" w:lineRule="exact"/>
              <w:jc w:val="center"/>
              <w:rPr>
                <w:color w:val="auto"/>
                <w:sz w:val="21"/>
                <w:szCs w:val="21"/>
                <w:lang w:val="fr-FR"/>
              </w:rPr>
            </w:pPr>
            <w:bookmarkStart w:id="87" w:name="_Toc19541"/>
            <w:bookmarkStart w:id="88" w:name="_Toc4927"/>
            <w:r>
              <w:rPr>
                <w:rFonts w:hint="eastAsia"/>
                <w:color w:val="auto"/>
                <w:sz w:val="21"/>
                <w:szCs w:val="21"/>
                <w:lang w:val="fr-FR"/>
              </w:rPr>
              <w:t>地点</w:t>
            </w:r>
            <w:bookmarkEnd w:id="87"/>
            <w:bookmarkEnd w:id="88"/>
          </w:p>
        </w:tc>
        <w:tc>
          <w:tcPr>
            <w:tcW w:w="2677" w:type="dxa"/>
            <w:vAlign w:val="center"/>
          </w:tcPr>
          <w:p w14:paraId="3E8F9662">
            <w:pPr>
              <w:tabs>
                <w:tab w:val="left" w:pos="3105"/>
              </w:tabs>
              <w:spacing w:line="240" w:lineRule="exact"/>
              <w:jc w:val="center"/>
              <w:rPr>
                <w:color w:val="auto"/>
                <w:sz w:val="21"/>
                <w:szCs w:val="21"/>
                <w:lang w:val="fr-FR"/>
              </w:rPr>
            </w:pPr>
            <w:bookmarkStart w:id="89" w:name="_Toc27784"/>
            <w:bookmarkStart w:id="90" w:name="_Toc6166"/>
            <w:r>
              <w:rPr>
                <w:rFonts w:hint="eastAsia"/>
                <w:color w:val="auto"/>
                <w:sz w:val="21"/>
                <w:szCs w:val="21"/>
                <w:lang w:val="fr-FR"/>
              </w:rPr>
              <w:t>备注</w:t>
            </w:r>
            <w:bookmarkEnd w:id="89"/>
            <w:bookmarkEnd w:id="90"/>
          </w:p>
        </w:tc>
      </w:tr>
      <w:tr w14:paraId="665C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37" w:type="dxa"/>
            <w:vAlign w:val="center"/>
          </w:tcPr>
          <w:p w14:paraId="1185730A">
            <w:pPr>
              <w:tabs>
                <w:tab w:val="left" w:pos="3105"/>
              </w:tabs>
              <w:spacing w:line="240" w:lineRule="exact"/>
              <w:jc w:val="center"/>
              <w:rPr>
                <w:color w:val="auto"/>
                <w:sz w:val="21"/>
                <w:szCs w:val="21"/>
              </w:rPr>
            </w:pPr>
            <w:r>
              <w:rPr>
                <w:rFonts w:hint="eastAsia"/>
                <w:color w:val="auto"/>
                <w:sz w:val="21"/>
                <w:szCs w:val="21"/>
              </w:rPr>
              <w:t>1</w:t>
            </w:r>
          </w:p>
        </w:tc>
        <w:tc>
          <w:tcPr>
            <w:tcW w:w="2218" w:type="dxa"/>
            <w:vAlign w:val="center"/>
          </w:tcPr>
          <w:p w14:paraId="479B12D6">
            <w:pPr>
              <w:tabs>
                <w:tab w:val="left" w:pos="3105"/>
              </w:tabs>
              <w:spacing w:line="240" w:lineRule="exact"/>
              <w:jc w:val="center"/>
              <w:rPr>
                <w:color w:val="auto"/>
                <w:sz w:val="21"/>
                <w:szCs w:val="21"/>
                <w:lang w:val="fr-FR"/>
              </w:rPr>
            </w:pPr>
            <w:bookmarkStart w:id="91" w:name="_Toc9878"/>
            <w:bookmarkStart w:id="92" w:name="_Toc25195"/>
            <w:r>
              <w:rPr>
                <w:rFonts w:hint="eastAsia"/>
                <w:color w:val="auto"/>
                <w:sz w:val="21"/>
                <w:szCs w:val="21"/>
                <w:lang w:val="fr-FR"/>
              </w:rPr>
              <w:t>工程技术联络会议</w:t>
            </w:r>
            <w:bookmarkEnd w:id="91"/>
            <w:bookmarkEnd w:id="92"/>
          </w:p>
        </w:tc>
        <w:tc>
          <w:tcPr>
            <w:tcW w:w="1714" w:type="dxa"/>
            <w:vAlign w:val="center"/>
          </w:tcPr>
          <w:p w14:paraId="232E6B2B">
            <w:pPr>
              <w:tabs>
                <w:tab w:val="left" w:pos="3105"/>
              </w:tabs>
              <w:spacing w:line="240" w:lineRule="exact"/>
              <w:jc w:val="center"/>
              <w:rPr>
                <w:color w:val="auto"/>
                <w:sz w:val="21"/>
                <w:szCs w:val="21"/>
                <w:lang w:val="fr-FR"/>
              </w:rPr>
            </w:pPr>
            <w:bookmarkStart w:id="93" w:name="_Toc14800"/>
            <w:bookmarkStart w:id="94" w:name="_Toc29098"/>
            <w:r>
              <w:rPr>
                <w:rFonts w:hint="eastAsia"/>
                <w:color w:val="auto"/>
                <w:sz w:val="21"/>
                <w:szCs w:val="21"/>
                <w:lang w:val="fr-FR"/>
              </w:rPr>
              <w:t>10人×1周×1次</w:t>
            </w:r>
            <w:bookmarkEnd w:id="93"/>
            <w:bookmarkEnd w:id="94"/>
          </w:p>
        </w:tc>
        <w:tc>
          <w:tcPr>
            <w:tcW w:w="1928" w:type="dxa"/>
            <w:vAlign w:val="center"/>
          </w:tcPr>
          <w:p w14:paraId="46D218C7">
            <w:pPr>
              <w:tabs>
                <w:tab w:val="left" w:pos="3105"/>
              </w:tabs>
              <w:spacing w:line="240" w:lineRule="exact"/>
              <w:jc w:val="center"/>
              <w:rPr>
                <w:color w:val="auto"/>
                <w:sz w:val="21"/>
                <w:szCs w:val="21"/>
              </w:rPr>
            </w:pPr>
            <w:bookmarkStart w:id="95" w:name="_Toc20020"/>
            <w:bookmarkStart w:id="96" w:name="_Toc15271"/>
            <w:r>
              <w:rPr>
                <w:rFonts w:hint="eastAsia"/>
                <w:color w:val="auto"/>
                <w:sz w:val="21"/>
                <w:szCs w:val="21"/>
              </w:rPr>
              <w:t>工程实施现场或其他地点。</w:t>
            </w:r>
            <w:bookmarkEnd w:id="95"/>
            <w:bookmarkEnd w:id="96"/>
          </w:p>
        </w:tc>
        <w:tc>
          <w:tcPr>
            <w:tcW w:w="2677" w:type="dxa"/>
            <w:vAlign w:val="center"/>
          </w:tcPr>
          <w:p w14:paraId="050D6110">
            <w:pPr>
              <w:tabs>
                <w:tab w:val="left" w:pos="3105"/>
              </w:tabs>
              <w:spacing w:line="240" w:lineRule="exact"/>
              <w:jc w:val="center"/>
              <w:rPr>
                <w:color w:val="auto"/>
                <w:sz w:val="21"/>
                <w:szCs w:val="21"/>
                <w:lang w:val="fr-FR"/>
              </w:rPr>
            </w:pPr>
            <w:bookmarkStart w:id="97" w:name="_Toc25595"/>
            <w:bookmarkStart w:id="98" w:name="_Toc12729"/>
            <w:r>
              <w:rPr>
                <w:rFonts w:hint="eastAsia"/>
                <w:color w:val="auto"/>
                <w:sz w:val="21"/>
                <w:szCs w:val="21"/>
                <w:lang w:val="fr-FR"/>
              </w:rPr>
              <w:t>投标方应提供</w:t>
            </w:r>
          </w:p>
          <w:p w14:paraId="6D516353">
            <w:pPr>
              <w:tabs>
                <w:tab w:val="left" w:pos="3105"/>
              </w:tabs>
              <w:spacing w:line="240" w:lineRule="exact"/>
              <w:jc w:val="center"/>
              <w:rPr>
                <w:color w:val="auto"/>
                <w:sz w:val="21"/>
                <w:szCs w:val="21"/>
                <w:lang w:val="fr-FR"/>
              </w:rPr>
            </w:pPr>
            <w:r>
              <w:rPr>
                <w:rFonts w:hint="eastAsia"/>
                <w:color w:val="auto"/>
                <w:sz w:val="21"/>
                <w:szCs w:val="21"/>
                <w:lang w:val="fr-FR"/>
              </w:rPr>
              <w:t>技术联络会办公条件。</w:t>
            </w:r>
            <w:bookmarkEnd w:id="97"/>
            <w:bookmarkEnd w:id="98"/>
          </w:p>
        </w:tc>
      </w:tr>
      <w:tr w14:paraId="7583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37" w:type="dxa"/>
            <w:vAlign w:val="center"/>
          </w:tcPr>
          <w:p w14:paraId="7E77E7F3">
            <w:pPr>
              <w:tabs>
                <w:tab w:val="left" w:pos="3105"/>
              </w:tabs>
              <w:spacing w:line="240" w:lineRule="exact"/>
              <w:jc w:val="center"/>
              <w:rPr>
                <w:color w:val="auto"/>
                <w:sz w:val="21"/>
                <w:szCs w:val="21"/>
              </w:rPr>
            </w:pPr>
            <w:r>
              <w:rPr>
                <w:rFonts w:hint="eastAsia"/>
                <w:color w:val="auto"/>
                <w:sz w:val="21"/>
                <w:szCs w:val="21"/>
              </w:rPr>
              <w:t>2</w:t>
            </w:r>
          </w:p>
        </w:tc>
        <w:tc>
          <w:tcPr>
            <w:tcW w:w="2218" w:type="dxa"/>
            <w:vAlign w:val="center"/>
          </w:tcPr>
          <w:p w14:paraId="590A3E53">
            <w:pPr>
              <w:tabs>
                <w:tab w:val="left" w:pos="3105"/>
              </w:tabs>
              <w:spacing w:line="240" w:lineRule="exact"/>
              <w:jc w:val="center"/>
              <w:rPr>
                <w:color w:val="auto"/>
                <w:sz w:val="21"/>
                <w:szCs w:val="21"/>
                <w:lang w:val="fr-FR"/>
              </w:rPr>
            </w:pPr>
            <w:bookmarkStart w:id="99" w:name="_Toc27251"/>
            <w:bookmarkStart w:id="100" w:name="_Toc23073"/>
            <w:r>
              <w:rPr>
                <w:rFonts w:hint="eastAsia"/>
                <w:color w:val="auto"/>
                <w:sz w:val="21"/>
                <w:szCs w:val="21"/>
                <w:lang w:val="fr-FR"/>
              </w:rPr>
              <w:t>工程服务</w:t>
            </w:r>
            <w:bookmarkEnd w:id="99"/>
            <w:bookmarkEnd w:id="100"/>
          </w:p>
        </w:tc>
        <w:tc>
          <w:tcPr>
            <w:tcW w:w="1714" w:type="dxa"/>
            <w:vAlign w:val="center"/>
          </w:tcPr>
          <w:p w14:paraId="7905E977">
            <w:pPr>
              <w:tabs>
                <w:tab w:val="left" w:pos="3105"/>
              </w:tabs>
              <w:spacing w:line="240" w:lineRule="exact"/>
              <w:jc w:val="center"/>
              <w:rPr>
                <w:color w:val="auto"/>
                <w:sz w:val="21"/>
                <w:szCs w:val="21"/>
                <w:lang w:val="fr-FR"/>
              </w:rPr>
            </w:pPr>
          </w:p>
        </w:tc>
        <w:tc>
          <w:tcPr>
            <w:tcW w:w="1928" w:type="dxa"/>
            <w:vAlign w:val="center"/>
          </w:tcPr>
          <w:p w14:paraId="72DA68F9">
            <w:pPr>
              <w:tabs>
                <w:tab w:val="left" w:pos="3105"/>
              </w:tabs>
              <w:spacing w:line="240" w:lineRule="exact"/>
              <w:jc w:val="center"/>
              <w:rPr>
                <w:color w:val="auto"/>
                <w:sz w:val="21"/>
                <w:szCs w:val="21"/>
                <w:lang w:val="fr-FR"/>
              </w:rPr>
            </w:pPr>
            <w:bookmarkStart w:id="101" w:name="_Toc12330"/>
            <w:r>
              <w:rPr>
                <w:rFonts w:hint="eastAsia"/>
                <w:color w:val="auto"/>
                <w:sz w:val="21"/>
                <w:szCs w:val="21"/>
                <w:lang w:val="fr-FR"/>
              </w:rPr>
              <w:t>工程现场</w:t>
            </w:r>
            <w:bookmarkEnd w:id="101"/>
          </w:p>
        </w:tc>
        <w:tc>
          <w:tcPr>
            <w:tcW w:w="2677" w:type="dxa"/>
            <w:vAlign w:val="center"/>
          </w:tcPr>
          <w:p w14:paraId="3FFA0447">
            <w:pPr>
              <w:tabs>
                <w:tab w:val="left" w:pos="3105"/>
              </w:tabs>
              <w:spacing w:line="240" w:lineRule="exact"/>
              <w:jc w:val="center"/>
              <w:rPr>
                <w:color w:val="auto"/>
                <w:sz w:val="21"/>
                <w:szCs w:val="21"/>
                <w:lang w:val="fr-FR"/>
              </w:rPr>
            </w:pPr>
            <w:bookmarkStart w:id="102" w:name="_Toc2525"/>
            <w:bookmarkStart w:id="103" w:name="_Toc291"/>
            <w:r>
              <w:rPr>
                <w:rFonts w:hint="eastAsia"/>
                <w:color w:val="auto"/>
                <w:sz w:val="21"/>
                <w:szCs w:val="21"/>
                <w:lang w:val="fr-FR"/>
              </w:rPr>
              <w:t>含工程勘测、安装督导、系统调试与优化、开通、初验、试运行、终验等投标方需提供的相关服务和文档、资料。</w:t>
            </w:r>
            <w:bookmarkEnd w:id="102"/>
            <w:bookmarkEnd w:id="103"/>
          </w:p>
        </w:tc>
      </w:tr>
      <w:tr w14:paraId="320B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9" w:hRule="exact"/>
          <w:jc w:val="center"/>
        </w:trPr>
        <w:tc>
          <w:tcPr>
            <w:tcW w:w="637" w:type="dxa"/>
            <w:vAlign w:val="center"/>
          </w:tcPr>
          <w:p w14:paraId="3DB00C2D">
            <w:pPr>
              <w:tabs>
                <w:tab w:val="left" w:pos="3105"/>
              </w:tabs>
              <w:spacing w:line="240" w:lineRule="exact"/>
              <w:jc w:val="center"/>
              <w:rPr>
                <w:color w:val="auto"/>
                <w:sz w:val="21"/>
                <w:szCs w:val="21"/>
              </w:rPr>
            </w:pPr>
            <w:r>
              <w:rPr>
                <w:rFonts w:hint="eastAsia"/>
                <w:color w:val="auto"/>
                <w:sz w:val="21"/>
                <w:szCs w:val="21"/>
              </w:rPr>
              <w:t>3</w:t>
            </w:r>
          </w:p>
        </w:tc>
        <w:tc>
          <w:tcPr>
            <w:tcW w:w="2218" w:type="dxa"/>
            <w:vAlign w:val="center"/>
          </w:tcPr>
          <w:p w14:paraId="25CFF1CA">
            <w:pPr>
              <w:tabs>
                <w:tab w:val="left" w:pos="3105"/>
              </w:tabs>
              <w:spacing w:line="240" w:lineRule="exact"/>
              <w:jc w:val="center"/>
              <w:rPr>
                <w:color w:val="auto"/>
                <w:sz w:val="21"/>
                <w:szCs w:val="21"/>
                <w:lang w:val="fr-FR"/>
              </w:rPr>
            </w:pPr>
            <w:bookmarkStart w:id="104" w:name="_Toc31034"/>
            <w:bookmarkStart w:id="105" w:name="_Toc32613"/>
            <w:r>
              <w:rPr>
                <w:rFonts w:hint="eastAsia"/>
                <w:color w:val="auto"/>
                <w:sz w:val="21"/>
                <w:szCs w:val="21"/>
                <w:lang w:val="fr-FR"/>
              </w:rPr>
              <w:t>质量保证期内技术服务</w:t>
            </w:r>
            <w:bookmarkEnd w:id="104"/>
            <w:bookmarkEnd w:id="105"/>
          </w:p>
        </w:tc>
        <w:tc>
          <w:tcPr>
            <w:tcW w:w="1714" w:type="dxa"/>
            <w:vAlign w:val="center"/>
          </w:tcPr>
          <w:p w14:paraId="357BAB40">
            <w:pPr>
              <w:tabs>
                <w:tab w:val="left" w:pos="3105"/>
              </w:tabs>
              <w:spacing w:line="240" w:lineRule="exact"/>
              <w:jc w:val="center"/>
              <w:rPr>
                <w:color w:val="auto"/>
                <w:sz w:val="21"/>
                <w:szCs w:val="21"/>
              </w:rPr>
            </w:pPr>
            <w:r>
              <w:rPr>
                <w:rFonts w:hint="eastAsia"/>
                <w:color w:val="auto"/>
                <w:sz w:val="21"/>
                <w:szCs w:val="21"/>
              </w:rPr>
              <w:t>2年</w:t>
            </w:r>
          </w:p>
        </w:tc>
        <w:tc>
          <w:tcPr>
            <w:tcW w:w="1928" w:type="dxa"/>
            <w:vAlign w:val="center"/>
          </w:tcPr>
          <w:p w14:paraId="64657A0F">
            <w:pPr>
              <w:tabs>
                <w:tab w:val="left" w:pos="3105"/>
              </w:tabs>
              <w:spacing w:line="240" w:lineRule="exact"/>
              <w:jc w:val="center"/>
              <w:rPr>
                <w:color w:val="auto"/>
                <w:sz w:val="21"/>
                <w:szCs w:val="21"/>
                <w:lang w:val="fr-FR"/>
              </w:rPr>
            </w:pPr>
            <w:bookmarkStart w:id="106" w:name="_Toc9097"/>
            <w:bookmarkStart w:id="107" w:name="_Toc2336"/>
            <w:r>
              <w:rPr>
                <w:rFonts w:hint="eastAsia"/>
                <w:color w:val="auto"/>
                <w:sz w:val="21"/>
                <w:szCs w:val="21"/>
                <w:lang w:val="fr-FR"/>
              </w:rPr>
              <w:t>投标方所在地或</w:t>
            </w:r>
            <w:bookmarkEnd w:id="106"/>
            <w:bookmarkEnd w:id="107"/>
          </w:p>
          <w:p w14:paraId="24087A0D">
            <w:pPr>
              <w:tabs>
                <w:tab w:val="left" w:pos="3105"/>
              </w:tabs>
              <w:spacing w:line="240" w:lineRule="exact"/>
              <w:jc w:val="center"/>
              <w:rPr>
                <w:color w:val="auto"/>
                <w:sz w:val="21"/>
                <w:szCs w:val="21"/>
                <w:lang w:val="fr-FR"/>
              </w:rPr>
            </w:pPr>
            <w:bookmarkStart w:id="108" w:name="_Toc25556"/>
            <w:bookmarkStart w:id="109" w:name="_Toc31264"/>
            <w:r>
              <w:rPr>
                <w:rFonts w:hint="eastAsia"/>
                <w:color w:val="auto"/>
                <w:sz w:val="21"/>
                <w:szCs w:val="21"/>
                <w:lang w:val="fr-FR"/>
              </w:rPr>
              <w:t>工程现场</w:t>
            </w:r>
            <w:bookmarkEnd w:id="108"/>
            <w:bookmarkEnd w:id="109"/>
          </w:p>
        </w:tc>
        <w:tc>
          <w:tcPr>
            <w:tcW w:w="2677" w:type="dxa"/>
            <w:vAlign w:val="center"/>
          </w:tcPr>
          <w:p w14:paraId="743F0E13">
            <w:pPr>
              <w:tabs>
                <w:tab w:val="left" w:pos="3105"/>
              </w:tabs>
              <w:spacing w:line="240" w:lineRule="exact"/>
              <w:jc w:val="center"/>
              <w:rPr>
                <w:color w:val="auto"/>
                <w:sz w:val="21"/>
                <w:szCs w:val="21"/>
                <w:lang w:val="fr-FR"/>
              </w:rPr>
            </w:pPr>
            <w:bookmarkStart w:id="110" w:name="_Toc14456"/>
            <w:bookmarkStart w:id="111" w:name="_Toc27838"/>
            <w:r>
              <w:rPr>
                <w:rFonts w:hint="eastAsia"/>
                <w:color w:val="auto"/>
                <w:sz w:val="21"/>
                <w:szCs w:val="21"/>
                <w:lang w:val="fr-FR"/>
              </w:rPr>
              <w:t>质量保证期内免费远程或现场技术支持、故障处理和设备维修服务。质量保证期内投标方不得使用招标方的备品备件，系统运行所需的设备材料、备品备件由投标方负责免费提供。在此期间，投标方还应对其由于投标方原因所导致的任何备品备件消耗负责。</w:t>
            </w:r>
            <w:bookmarkEnd w:id="110"/>
            <w:bookmarkEnd w:id="111"/>
          </w:p>
        </w:tc>
      </w:tr>
    </w:tbl>
    <w:p w14:paraId="5657D484">
      <w:pPr>
        <w:pStyle w:val="10"/>
        <w:tabs>
          <w:tab w:val="left" w:pos="360"/>
        </w:tabs>
        <w:spacing w:before="200" w:after="200"/>
        <w:ind w:firstLine="360"/>
        <w:rPr>
          <w:rFonts w:hint="eastAsia" w:eastAsia="宋体" w:cs="宋体"/>
          <w:b/>
          <w:color w:val="auto"/>
          <w:kern w:val="44"/>
          <w:lang w:val="fr-FR"/>
        </w:rPr>
      </w:pPr>
      <w:r>
        <w:rPr>
          <w:rFonts w:hint="eastAsia" w:eastAsia="宋体" w:cs="宋体"/>
          <w:color w:val="auto"/>
          <w:lang w:val="fr-FR"/>
        </w:rPr>
        <w:t>注：以上费用根据项目规模估列。</w:t>
      </w:r>
      <w:bookmarkEnd w:id="22"/>
      <w:bookmarkEnd w:id="23"/>
      <w:bookmarkStart w:id="112" w:name="_Toc206984115"/>
      <w:bookmarkStart w:id="113" w:name="_Toc406327255"/>
      <w:bookmarkStart w:id="114" w:name="_Toc406330028"/>
      <w:bookmarkStart w:id="115" w:name="_Toc167887314"/>
      <w:bookmarkStart w:id="116" w:name="_Toc207723031"/>
      <w:bookmarkStart w:id="117" w:name="_Toc245540994"/>
    </w:p>
    <w:p w14:paraId="0280A86B">
      <w:pPr>
        <w:pStyle w:val="7"/>
        <w:spacing w:before="191" w:after="191"/>
        <w:rPr>
          <w:rFonts w:hint="eastAsia"/>
          <w:color w:val="auto"/>
          <w:sz w:val="21"/>
          <w:szCs w:val="21"/>
        </w:rPr>
      </w:pPr>
      <w:bookmarkStart w:id="118" w:name="_Toc17195"/>
      <w:r>
        <w:rPr>
          <w:rFonts w:hint="eastAsia"/>
          <w:color w:val="auto"/>
          <w:sz w:val="21"/>
          <w:szCs w:val="21"/>
        </w:rPr>
        <w:t>第二篇  总    则</w:t>
      </w:r>
      <w:bookmarkEnd w:id="112"/>
      <w:bookmarkEnd w:id="113"/>
      <w:bookmarkEnd w:id="114"/>
      <w:bookmarkEnd w:id="118"/>
      <w:bookmarkStart w:id="119" w:name="_Toc139182289"/>
      <w:bookmarkStart w:id="120" w:name="_Toc161460683"/>
      <w:bookmarkStart w:id="121" w:name="_Toc472223152"/>
    </w:p>
    <w:bookmarkEnd w:id="119"/>
    <w:bookmarkEnd w:id="120"/>
    <w:bookmarkEnd w:id="121"/>
    <w:p w14:paraId="1CC9C9E5">
      <w:pPr>
        <w:pStyle w:val="8"/>
        <w:rPr>
          <w:rFonts w:hint="eastAsia"/>
          <w:color w:val="auto"/>
          <w:kern w:val="2"/>
          <w:sz w:val="21"/>
          <w:szCs w:val="21"/>
        </w:rPr>
      </w:pPr>
      <w:bookmarkStart w:id="122" w:name="_Toc435523819"/>
      <w:bookmarkEnd w:id="122"/>
      <w:bookmarkStart w:id="123" w:name="_Toc435523820"/>
      <w:bookmarkEnd w:id="123"/>
      <w:bookmarkStart w:id="124" w:name="_Toc435523821"/>
      <w:bookmarkEnd w:id="124"/>
      <w:bookmarkStart w:id="125" w:name="_Toc436830281"/>
      <w:bookmarkEnd w:id="125"/>
      <w:bookmarkStart w:id="126" w:name="_Toc435525021"/>
      <w:bookmarkEnd w:id="126"/>
      <w:bookmarkStart w:id="127" w:name="_Toc435525024"/>
      <w:bookmarkEnd w:id="127"/>
      <w:bookmarkStart w:id="128" w:name="_Toc436830279"/>
      <w:bookmarkEnd w:id="128"/>
      <w:bookmarkStart w:id="129" w:name="_Toc435525027"/>
      <w:bookmarkEnd w:id="129"/>
      <w:bookmarkStart w:id="130" w:name="_Toc435523817"/>
      <w:bookmarkEnd w:id="130"/>
      <w:bookmarkStart w:id="131" w:name="_Toc435523816"/>
      <w:bookmarkEnd w:id="131"/>
      <w:bookmarkStart w:id="132" w:name="_Toc435525022"/>
      <w:bookmarkEnd w:id="132"/>
      <w:bookmarkStart w:id="133" w:name="_Toc435524027"/>
      <w:bookmarkEnd w:id="133"/>
      <w:bookmarkStart w:id="134" w:name="_Toc435524030"/>
      <w:bookmarkEnd w:id="134"/>
      <w:bookmarkStart w:id="135" w:name="_Toc435524028"/>
      <w:bookmarkEnd w:id="135"/>
      <w:bookmarkStart w:id="136" w:name="_Toc436830277"/>
      <w:bookmarkEnd w:id="136"/>
      <w:bookmarkStart w:id="137" w:name="_Toc435524033"/>
      <w:bookmarkEnd w:id="137"/>
      <w:bookmarkStart w:id="138" w:name="_Toc435525026"/>
      <w:bookmarkEnd w:id="138"/>
      <w:bookmarkStart w:id="139" w:name="_Toc435523815"/>
      <w:bookmarkEnd w:id="139"/>
      <w:bookmarkStart w:id="140" w:name="_Toc435525025"/>
      <w:bookmarkEnd w:id="140"/>
      <w:bookmarkStart w:id="141" w:name="_Toc436830278"/>
      <w:bookmarkEnd w:id="141"/>
      <w:bookmarkStart w:id="142" w:name="_Toc435524029"/>
      <w:bookmarkEnd w:id="142"/>
      <w:bookmarkStart w:id="143" w:name="_Toc435523818"/>
      <w:bookmarkEnd w:id="143"/>
      <w:bookmarkStart w:id="144" w:name="_Toc435524032"/>
      <w:bookmarkEnd w:id="144"/>
      <w:bookmarkStart w:id="145" w:name="_Toc435525023"/>
      <w:bookmarkEnd w:id="145"/>
      <w:bookmarkStart w:id="146" w:name="_Toc435524031"/>
      <w:bookmarkEnd w:id="146"/>
      <w:bookmarkStart w:id="147" w:name="_Toc436830276"/>
      <w:bookmarkEnd w:id="147"/>
      <w:bookmarkStart w:id="148" w:name="_Toc436830280"/>
      <w:bookmarkEnd w:id="148"/>
      <w:bookmarkStart w:id="149" w:name="_Toc436830275"/>
      <w:bookmarkEnd w:id="149"/>
      <w:bookmarkStart w:id="150" w:name="_Toc161460684"/>
      <w:bookmarkStart w:id="151" w:name="_Toc406327257"/>
      <w:bookmarkStart w:id="152" w:name="_Toc472223153"/>
      <w:bookmarkStart w:id="153" w:name="_Toc406330030"/>
      <w:bookmarkStart w:id="154" w:name="_Toc3135"/>
      <w:r>
        <w:rPr>
          <w:rFonts w:hint="eastAsia"/>
          <w:color w:val="auto"/>
          <w:kern w:val="2"/>
          <w:sz w:val="21"/>
          <w:szCs w:val="21"/>
        </w:rPr>
        <w:t>1.技术规范总则</w:t>
      </w:r>
      <w:bookmarkEnd w:id="150"/>
      <w:bookmarkEnd w:id="151"/>
      <w:bookmarkEnd w:id="152"/>
      <w:bookmarkEnd w:id="153"/>
      <w:bookmarkEnd w:id="154"/>
    </w:p>
    <w:p w14:paraId="04531271">
      <w:pPr>
        <w:pStyle w:val="11"/>
        <w:ind w:firstLine="420"/>
        <w:rPr>
          <w:rFonts w:hint="eastAsia"/>
          <w:color w:val="auto"/>
          <w:sz w:val="21"/>
          <w:szCs w:val="21"/>
        </w:rPr>
      </w:pPr>
      <w:r>
        <w:rPr>
          <w:rFonts w:hint="eastAsia"/>
          <w:color w:val="auto"/>
          <w:sz w:val="21"/>
          <w:szCs w:val="21"/>
        </w:rPr>
        <w:t>1</w:t>
      </w:r>
      <w:r>
        <w:rPr>
          <w:color w:val="auto"/>
          <w:sz w:val="21"/>
          <w:szCs w:val="21"/>
        </w:rPr>
        <w:t>.1  除非在技术规范中另作规定，“近似”或“大约”一词则意味着偏差范围允许在10%。</w:t>
      </w:r>
    </w:p>
    <w:p w14:paraId="01F71EAB">
      <w:pPr>
        <w:pStyle w:val="11"/>
        <w:ind w:firstLine="420"/>
        <w:rPr>
          <w:rFonts w:hint="eastAsia"/>
          <w:color w:val="auto"/>
          <w:sz w:val="21"/>
          <w:szCs w:val="21"/>
        </w:rPr>
      </w:pPr>
      <w:r>
        <w:rPr>
          <w:rFonts w:hint="eastAsia"/>
          <w:color w:val="auto"/>
          <w:sz w:val="21"/>
          <w:szCs w:val="21"/>
        </w:rPr>
        <w:t>1</w:t>
      </w:r>
      <w:r>
        <w:rPr>
          <w:color w:val="auto"/>
          <w:sz w:val="21"/>
          <w:szCs w:val="21"/>
        </w:rPr>
        <w:t>.2  除非在技术规范中另作规定，均用国际单位制（SI）度量所有设备、仪器。</w:t>
      </w:r>
    </w:p>
    <w:p w14:paraId="006040A5">
      <w:pPr>
        <w:pStyle w:val="11"/>
        <w:ind w:firstLine="420"/>
        <w:rPr>
          <w:rFonts w:hint="eastAsia"/>
          <w:color w:val="auto"/>
          <w:sz w:val="21"/>
          <w:szCs w:val="21"/>
        </w:rPr>
      </w:pPr>
      <w:r>
        <w:rPr>
          <w:rFonts w:hint="eastAsia"/>
          <w:color w:val="auto"/>
          <w:sz w:val="21"/>
          <w:szCs w:val="21"/>
        </w:rPr>
        <w:t>1</w:t>
      </w:r>
      <w:r>
        <w:rPr>
          <w:color w:val="auto"/>
          <w:sz w:val="21"/>
          <w:szCs w:val="21"/>
        </w:rPr>
        <w:t>.3  除非在技术规范中另作规定，所有设备、仪器的设计和制造应符合ISO/IEC标准、ITU-T和/或ITU-R标准。</w:t>
      </w:r>
    </w:p>
    <w:p w14:paraId="079CA81A">
      <w:pPr>
        <w:pStyle w:val="11"/>
        <w:ind w:firstLine="420"/>
        <w:rPr>
          <w:rFonts w:hint="eastAsia"/>
          <w:color w:val="auto"/>
          <w:sz w:val="21"/>
          <w:szCs w:val="21"/>
        </w:rPr>
      </w:pPr>
      <w:r>
        <w:rPr>
          <w:rFonts w:hint="eastAsia"/>
          <w:color w:val="auto"/>
          <w:sz w:val="21"/>
          <w:szCs w:val="21"/>
        </w:rPr>
        <w:t>1</w:t>
      </w:r>
      <w:r>
        <w:rPr>
          <w:color w:val="auto"/>
          <w:sz w:val="21"/>
          <w:szCs w:val="21"/>
        </w:rPr>
        <w:t>.4  在设备、仪器制造过程中，投标人应考虑整个系统设备之间的接口问题，特别是所订设备与现有设备之间的接口。在设备安装调试开通时，整个系统之间接口不应存在任何问题。如果存在问题，投标人有责任解决接口问题。</w:t>
      </w:r>
    </w:p>
    <w:p w14:paraId="1FE9B3BA">
      <w:pPr>
        <w:pStyle w:val="11"/>
        <w:ind w:firstLine="420"/>
        <w:rPr>
          <w:rFonts w:hint="eastAsia"/>
          <w:color w:val="auto"/>
          <w:sz w:val="21"/>
          <w:szCs w:val="21"/>
        </w:rPr>
      </w:pPr>
      <w:r>
        <w:rPr>
          <w:rFonts w:hint="eastAsia"/>
          <w:color w:val="auto"/>
          <w:sz w:val="21"/>
          <w:szCs w:val="21"/>
        </w:rPr>
        <w:t>1</w:t>
      </w:r>
      <w:r>
        <w:rPr>
          <w:color w:val="auto"/>
          <w:sz w:val="21"/>
          <w:szCs w:val="21"/>
        </w:rPr>
        <w:t>.5  在技术规范中所述的相同规格的设备必须是可互换的，且设备零件也必须是可互换的。</w:t>
      </w:r>
    </w:p>
    <w:p w14:paraId="63A09855">
      <w:pPr>
        <w:pStyle w:val="2"/>
        <w:spacing w:line="240" w:lineRule="auto"/>
        <w:ind w:firstLine="420"/>
        <w:rPr>
          <w:rFonts w:hint="eastAsia" w:hAnsi="宋体"/>
          <w:color w:val="auto"/>
          <w:kern w:val="2"/>
          <w:sz w:val="21"/>
        </w:rPr>
      </w:pPr>
      <w:r>
        <w:rPr>
          <w:rFonts w:hint="eastAsia" w:hAnsi="宋体"/>
          <w:color w:val="auto"/>
          <w:kern w:val="2"/>
          <w:sz w:val="21"/>
        </w:rPr>
        <w:t>1</w:t>
      </w:r>
      <w:r>
        <w:rPr>
          <w:rFonts w:hAnsi="宋体"/>
          <w:color w:val="auto"/>
          <w:kern w:val="2"/>
          <w:sz w:val="21"/>
        </w:rPr>
        <w:t>.6  所有的投标设备都应经过检验，并且备有有效的试验报告和合格证。检验的内容应由投标人和招标人协商决定，而投标人应首先提出检验项目和遵循的标准。</w:t>
      </w:r>
      <w:bookmarkStart w:id="155" w:name="_Toc161460685"/>
      <w:bookmarkStart w:id="156" w:name="_Toc472223154"/>
    </w:p>
    <w:p w14:paraId="2300CEFB">
      <w:pPr>
        <w:pStyle w:val="2"/>
        <w:spacing w:line="240" w:lineRule="auto"/>
        <w:ind w:firstLine="420"/>
        <w:rPr>
          <w:rFonts w:hint="eastAsia" w:hAnsi="宋体"/>
          <w:color w:val="auto"/>
          <w:kern w:val="2"/>
          <w:sz w:val="21"/>
        </w:rPr>
      </w:pPr>
      <w:r>
        <w:rPr>
          <w:rFonts w:hAnsi="宋体"/>
          <w:color w:val="auto"/>
          <w:kern w:val="2"/>
          <w:sz w:val="21"/>
        </w:rPr>
        <w:t>1.7投标人所投产品属于CRCC认证范围内的，需要保证其用于本工程的产品按中国铁路总公司（原铁道部）CRCC认证要求通过认证，并提供认证证书。如需上道检测，投标人应负责完成该项工作。</w:t>
      </w:r>
    </w:p>
    <w:p w14:paraId="71114A19">
      <w:pPr>
        <w:pStyle w:val="8"/>
        <w:rPr>
          <w:rFonts w:hint="eastAsia"/>
          <w:color w:val="auto"/>
          <w:kern w:val="2"/>
          <w:sz w:val="21"/>
          <w:szCs w:val="21"/>
        </w:rPr>
      </w:pPr>
      <w:bookmarkStart w:id="157" w:name="_Toc406327258"/>
      <w:bookmarkStart w:id="158" w:name="_Toc380565992"/>
      <w:bookmarkStart w:id="159" w:name="_Toc2822"/>
      <w:bookmarkStart w:id="160" w:name="_Toc406330031"/>
      <w:bookmarkStart w:id="161" w:name="_Toc377760564"/>
      <w:r>
        <w:rPr>
          <w:rFonts w:hint="eastAsia"/>
          <w:color w:val="auto"/>
          <w:kern w:val="2"/>
          <w:sz w:val="21"/>
          <w:szCs w:val="21"/>
        </w:rPr>
        <w:t>2.标准、版本和性能</w:t>
      </w:r>
      <w:bookmarkEnd w:id="157"/>
      <w:bookmarkEnd w:id="158"/>
      <w:bookmarkEnd w:id="159"/>
      <w:bookmarkEnd w:id="160"/>
      <w:bookmarkEnd w:id="161"/>
    </w:p>
    <w:p w14:paraId="3F5495E5">
      <w:pPr>
        <w:pStyle w:val="2"/>
        <w:spacing w:line="240" w:lineRule="auto"/>
        <w:ind w:firstLine="420"/>
        <w:rPr>
          <w:rFonts w:hint="eastAsia" w:hAnsi="宋体"/>
          <w:color w:val="auto"/>
          <w:kern w:val="2"/>
          <w:sz w:val="21"/>
        </w:rPr>
      </w:pPr>
      <w:r>
        <w:rPr>
          <w:rFonts w:hint="eastAsia" w:hAnsi="宋体"/>
          <w:color w:val="auto"/>
          <w:kern w:val="2"/>
          <w:sz w:val="21"/>
          <w:lang w:val="fr-FR"/>
        </w:rPr>
        <w:t>2</w:t>
      </w:r>
      <w:r>
        <w:rPr>
          <w:rFonts w:hAnsi="宋体"/>
          <w:color w:val="auto"/>
          <w:kern w:val="2"/>
          <w:sz w:val="21"/>
          <w:lang w:val="fr-FR"/>
        </w:rPr>
        <w:t xml:space="preserve">.1  </w:t>
      </w:r>
      <w:r>
        <w:rPr>
          <w:rFonts w:hAnsi="宋体"/>
          <w:color w:val="auto"/>
          <w:kern w:val="2"/>
          <w:sz w:val="21"/>
        </w:rPr>
        <w:t>本技术规格书中所引用的和在本技术规格书中尚未做出明确规定的ITU-T、国家及铁路等行业标准及建议均是指ITU-T、国家及铁路等行业标准及建议的最新版本。</w:t>
      </w:r>
    </w:p>
    <w:p w14:paraId="2B0752ED">
      <w:pPr>
        <w:pStyle w:val="2"/>
        <w:spacing w:line="240" w:lineRule="auto"/>
        <w:ind w:firstLine="420"/>
        <w:rPr>
          <w:rFonts w:hint="eastAsia" w:hAnsi="宋体"/>
          <w:color w:val="auto"/>
          <w:kern w:val="2"/>
          <w:sz w:val="21"/>
        </w:rPr>
      </w:pPr>
      <w:r>
        <w:rPr>
          <w:rFonts w:hAnsi="宋体"/>
          <w:color w:val="auto"/>
          <w:kern w:val="2"/>
          <w:sz w:val="21"/>
        </w:rPr>
        <w:t>2.2  投标人所提供的所有设备和系统（包括软、硬件）应符合有关ISO、ITU-T、IEC、IEEE、IETF等标准及中国国家、原</w:t>
      </w:r>
      <w:r>
        <w:rPr>
          <w:rFonts w:hint="eastAsia" w:hAnsi="宋体"/>
          <w:color w:val="auto"/>
          <w:kern w:val="2"/>
          <w:sz w:val="21"/>
        </w:rPr>
        <w:t>铁道部</w:t>
      </w:r>
      <w:r>
        <w:rPr>
          <w:rFonts w:hAnsi="宋体"/>
          <w:color w:val="auto"/>
          <w:kern w:val="2"/>
          <w:sz w:val="21"/>
        </w:rPr>
        <w:t>等相关国家、行业标准（包括相应的技术条件类标准、工程设计类标准、验收规范类标准、维护暂规类标准及文件、设备技术类相关文件等，如标准中有可选项，应支持可选项），应列出详细清单。</w:t>
      </w:r>
    </w:p>
    <w:p w14:paraId="530514AE">
      <w:pPr>
        <w:pStyle w:val="2"/>
        <w:spacing w:line="240" w:lineRule="auto"/>
        <w:ind w:firstLine="420"/>
        <w:rPr>
          <w:rFonts w:hint="eastAsia" w:hAnsi="宋体"/>
          <w:color w:val="auto"/>
          <w:kern w:val="2"/>
          <w:sz w:val="21"/>
        </w:rPr>
      </w:pPr>
      <w:r>
        <w:rPr>
          <w:rFonts w:hAnsi="宋体"/>
          <w:color w:val="auto"/>
          <w:kern w:val="2"/>
          <w:sz w:val="21"/>
        </w:rPr>
        <w:t>2.</w:t>
      </w:r>
      <w:r>
        <w:rPr>
          <w:rFonts w:hint="eastAsia" w:hAnsi="宋体"/>
          <w:color w:val="auto"/>
          <w:kern w:val="2"/>
          <w:sz w:val="21"/>
        </w:rPr>
        <w:t>3</w:t>
      </w:r>
      <w:r>
        <w:rPr>
          <w:rFonts w:hAnsi="宋体"/>
          <w:color w:val="auto"/>
          <w:kern w:val="2"/>
          <w:sz w:val="21"/>
        </w:rPr>
        <w:t xml:space="preserve">  若投标人的设备和系统包含非标准扩展协议或自有专用标准，应在技术建议书中具体说明，并附上相应的详细技术资料。</w:t>
      </w:r>
      <w:bookmarkStart w:id="162" w:name="_Toc406330032"/>
      <w:bookmarkStart w:id="163" w:name="_Toc406327259"/>
    </w:p>
    <w:p w14:paraId="04F7351A">
      <w:pPr>
        <w:pStyle w:val="8"/>
        <w:rPr>
          <w:rFonts w:hint="eastAsia"/>
          <w:color w:val="auto"/>
          <w:kern w:val="2"/>
          <w:sz w:val="21"/>
          <w:szCs w:val="21"/>
        </w:rPr>
      </w:pPr>
      <w:bookmarkStart w:id="164" w:name="_Toc435524036"/>
      <w:bookmarkEnd w:id="164"/>
      <w:bookmarkStart w:id="165" w:name="_Toc435525032"/>
      <w:bookmarkEnd w:id="165"/>
      <w:bookmarkStart w:id="166" w:name="_Toc436830286"/>
      <w:bookmarkEnd w:id="166"/>
      <w:bookmarkStart w:id="167" w:name="_Toc435524038"/>
      <w:bookmarkEnd w:id="167"/>
      <w:bookmarkStart w:id="168" w:name="_Toc435524037"/>
      <w:bookmarkEnd w:id="168"/>
      <w:bookmarkStart w:id="169" w:name="_Toc435523826"/>
      <w:bookmarkEnd w:id="169"/>
      <w:bookmarkStart w:id="170" w:name="_Toc435523824"/>
      <w:bookmarkEnd w:id="170"/>
      <w:bookmarkStart w:id="171" w:name="_Toc436830284"/>
      <w:bookmarkEnd w:id="171"/>
      <w:bookmarkStart w:id="172" w:name="_Toc435525031"/>
      <w:bookmarkEnd w:id="172"/>
      <w:bookmarkStart w:id="173" w:name="_Toc436830285"/>
      <w:bookmarkEnd w:id="173"/>
      <w:bookmarkStart w:id="174" w:name="_Toc435523825"/>
      <w:bookmarkEnd w:id="174"/>
      <w:bookmarkStart w:id="175" w:name="_Toc435525030"/>
      <w:bookmarkEnd w:id="175"/>
      <w:bookmarkStart w:id="176" w:name="_Toc8922"/>
      <w:r>
        <w:rPr>
          <w:rFonts w:hint="eastAsia"/>
          <w:color w:val="auto"/>
          <w:kern w:val="2"/>
          <w:sz w:val="21"/>
          <w:szCs w:val="21"/>
        </w:rPr>
        <w:t>3.技术文件和清单</w:t>
      </w:r>
      <w:bookmarkEnd w:id="155"/>
      <w:bookmarkEnd w:id="156"/>
      <w:bookmarkEnd w:id="162"/>
      <w:bookmarkEnd w:id="163"/>
      <w:bookmarkEnd w:id="176"/>
    </w:p>
    <w:p w14:paraId="1ABCCA6A">
      <w:pPr>
        <w:pStyle w:val="2"/>
        <w:spacing w:line="240" w:lineRule="auto"/>
        <w:ind w:firstLine="420"/>
        <w:rPr>
          <w:rFonts w:hint="eastAsia" w:hAnsi="宋体"/>
          <w:color w:val="auto"/>
          <w:kern w:val="2"/>
          <w:sz w:val="21"/>
        </w:rPr>
      </w:pPr>
      <w:r>
        <w:rPr>
          <w:rFonts w:hint="eastAsia" w:hAnsi="宋体"/>
          <w:color w:val="auto"/>
          <w:kern w:val="2"/>
          <w:sz w:val="21"/>
        </w:rPr>
        <w:t>3</w:t>
      </w:r>
      <w:r>
        <w:rPr>
          <w:rFonts w:hAnsi="宋体"/>
          <w:color w:val="auto"/>
          <w:kern w:val="2"/>
          <w:sz w:val="21"/>
        </w:rPr>
        <w:t xml:space="preserve">.1 </w:t>
      </w:r>
      <w:r>
        <w:rPr>
          <w:rFonts w:hint="eastAsia" w:hAnsi="宋体"/>
          <w:color w:val="auto"/>
          <w:kern w:val="2"/>
          <w:sz w:val="21"/>
        </w:rPr>
        <w:t xml:space="preserve"> </w:t>
      </w:r>
      <w:r>
        <w:rPr>
          <w:rFonts w:hAnsi="宋体"/>
          <w:color w:val="auto"/>
          <w:kern w:val="2"/>
          <w:sz w:val="21"/>
        </w:rPr>
        <w:t>在技术文件中，投标人应提供产品的型号、商标和种类号。</w:t>
      </w:r>
    </w:p>
    <w:p w14:paraId="57ADFF2D">
      <w:pPr>
        <w:pStyle w:val="2"/>
        <w:spacing w:line="240" w:lineRule="auto"/>
        <w:ind w:firstLine="420"/>
        <w:rPr>
          <w:rFonts w:hint="eastAsia" w:hAnsi="宋体"/>
          <w:color w:val="auto"/>
          <w:kern w:val="2"/>
          <w:sz w:val="21"/>
        </w:rPr>
      </w:pPr>
      <w:r>
        <w:rPr>
          <w:rFonts w:hint="eastAsia" w:hAnsi="宋体"/>
          <w:color w:val="auto"/>
          <w:kern w:val="2"/>
          <w:sz w:val="21"/>
        </w:rPr>
        <w:t>3</w:t>
      </w:r>
      <w:r>
        <w:rPr>
          <w:rFonts w:hAnsi="宋体"/>
          <w:color w:val="auto"/>
          <w:kern w:val="2"/>
          <w:sz w:val="21"/>
        </w:rPr>
        <w:t xml:space="preserve">.2 </w:t>
      </w:r>
      <w:r>
        <w:rPr>
          <w:rFonts w:hint="eastAsia" w:hAnsi="宋体"/>
          <w:color w:val="auto"/>
          <w:kern w:val="2"/>
          <w:sz w:val="21"/>
        </w:rPr>
        <w:t xml:space="preserve"> </w:t>
      </w:r>
      <w:r>
        <w:rPr>
          <w:rFonts w:hAnsi="宋体"/>
          <w:color w:val="auto"/>
          <w:kern w:val="2"/>
          <w:sz w:val="21"/>
        </w:rPr>
        <w:t>投标人在投标时应提供相应的技术文件，其中包括产品的主要性能、技术参数、结构特点、适用范围、操作手册、说明书，以及有关外形图纸和照片、原理图和安装图等。</w:t>
      </w:r>
    </w:p>
    <w:p w14:paraId="492343CE">
      <w:pPr>
        <w:pStyle w:val="2"/>
        <w:spacing w:line="240" w:lineRule="auto"/>
        <w:ind w:firstLine="420"/>
        <w:rPr>
          <w:rFonts w:hint="eastAsia" w:hAnsi="宋体"/>
          <w:color w:val="auto"/>
          <w:kern w:val="2"/>
          <w:sz w:val="21"/>
        </w:rPr>
      </w:pPr>
      <w:r>
        <w:rPr>
          <w:rFonts w:hint="eastAsia" w:hAnsi="宋体"/>
          <w:color w:val="auto"/>
          <w:kern w:val="2"/>
          <w:sz w:val="21"/>
        </w:rPr>
        <w:t>3</w:t>
      </w:r>
      <w:r>
        <w:rPr>
          <w:rFonts w:hAnsi="宋体"/>
          <w:color w:val="auto"/>
          <w:kern w:val="2"/>
          <w:sz w:val="21"/>
        </w:rPr>
        <w:t>.3</w:t>
      </w:r>
      <w:r>
        <w:rPr>
          <w:rFonts w:hint="eastAsia" w:hAnsi="宋体"/>
          <w:color w:val="auto"/>
          <w:kern w:val="2"/>
          <w:sz w:val="21"/>
        </w:rPr>
        <w:t xml:space="preserve"> </w:t>
      </w:r>
      <w:r>
        <w:rPr>
          <w:rFonts w:hAnsi="宋体"/>
          <w:color w:val="auto"/>
          <w:kern w:val="2"/>
          <w:sz w:val="21"/>
        </w:rPr>
        <w:t xml:space="preserve"> 所有技术文件、图纸都应使用中文，字迹清楚，内容完整，采用SI（国际单位制）单位、通用图形和符号。</w:t>
      </w:r>
    </w:p>
    <w:p w14:paraId="68ED033C">
      <w:pPr>
        <w:pStyle w:val="2"/>
        <w:spacing w:line="240" w:lineRule="auto"/>
        <w:ind w:firstLine="420"/>
        <w:rPr>
          <w:rFonts w:hint="eastAsia" w:hAnsi="宋体"/>
          <w:color w:val="auto"/>
          <w:kern w:val="2"/>
          <w:sz w:val="21"/>
        </w:rPr>
      </w:pPr>
      <w:r>
        <w:rPr>
          <w:rFonts w:hint="eastAsia" w:hAnsi="宋体"/>
          <w:color w:val="auto"/>
          <w:kern w:val="2"/>
          <w:sz w:val="21"/>
        </w:rPr>
        <w:t>3</w:t>
      </w:r>
      <w:r>
        <w:rPr>
          <w:rFonts w:hAnsi="宋体"/>
          <w:color w:val="auto"/>
          <w:kern w:val="2"/>
          <w:sz w:val="21"/>
        </w:rPr>
        <w:t xml:space="preserve">.4 </w:t>
      </w:r>
      <w:r>
        <w:rPr>
          <w:rFonts w:hint="eastAsia" w:hAnsi="宋体"/>
          <w:color w:val="auto"/>
          <w:kern w:val="2"/>
          <w:sz w:val="21"/>
        </w:rPr>
        <w:t xml:space="preserve"> </w:t>
      </w:r>
      <w:r>
        <w:rPr>
          <w:rFonts w:hAnsi="宋体"/>
          <w:color w:val="auto"/>
          <w:kern w:val="2"/>
          <w:sz w:val="21"/>
        </w:rPr>
        <w:t>投标人在投标书中应详细列出随机必须提供的专用仪器和专用工具及附件的名称、型号、规格、数量和单价。本条上述的价格将列入投标设备的基本价格内。在与中标人签订合同前，招标人拥有就上述产品的种类和数量提出补充要求的权利。一经双方确认，该项即写进合同。</w:t>
      </w:r>
    </w:p>
    <w:p w14:paraId="67A206FC">
      <w:pPr>
        <w:pStyle w:val="2"/>
        <w:spacing w:line="240" w:lineRule="auto"/>
        <w:ind w:firstLine="420"/>
        <w:rPr>
          <w:rFonts w:hint="eastAsia" w:hAnsi="宋体"/>
          <w:color w:val="auto"/>
          <w:kern w:val="2"/>
          <w:sz w:val="21"/>
        </w:rPr>
      </w:pPr>
      <w:r>
        <w:rPr>
          <w:rFonts w:hint="eastAsia" w:hAnsi="宋体"/>
          <w:color w:val="auto"/>
          <w:kern w:val="2"/>
          <w:sz w:val="21"/>
        </w:rPr>
        <w:t>3.5</w:t>
      </w:r>
      <w:r>
        <w:rPr>
          <w:rFonts w:hAnsi="宋体"/>
          <w:color w:val="auto"/>
          <w:kern w:val="2"/>
          <w:sz w:val="21"/>
        </w:rPr>
        <w:t xml:space="preserve">  所有的附件、备件、仪器、专用工具和消耗品都应在技术规格中列出。投标人应在设备基本价格的基础上，就以上产品分别报单价和总价。所提供的附件、备件等应在合同谈判时确定下来。</w:t>
      </w:r>
    </w:p>
    <w:p w14:paraId="4DF2EADB">
      <w:pPr>
        <w:pStyle w:val="11"/>
        <w:ind w:firstLine="420"/>
        <w:rPr>
          <w:rFonts w:hint="eastAsia"/>
          <w:color w:val="auto"/>
          <w:sz w:val="21"/>
          <w:szCs w:val="21"/>
        </w:rPr>
      </w:pPr>
      <w:r>
        <w:rPr>
          <w:rFonts w:hint="eastAsia"/>
          <w:color w:val="auto"/>
          <w:sz w:val="21"/>
          <w:szCs w:val="21"/>
        </w:rPr>
        <w:t>3.</w:t>
      </w:r>
      <w:r>
        <w:rPr>
          <w:color w:val="auto"/>
          <w:sz w:val="21"/>
          <w:szCs w:val="21"/>
        </w:rPr>
        <w:t>5  技术文件要求用中文书写，并使用国际通用的图形和符号。</w:t>
      </w:r>
    </w:p>
    <w:p w14:paraId="7B28B051">
      <w:pPr>
        <w:pStyle w:val="8"/>
        <w:rPr>
          <w:rFonts w:hint="eastAsia"/>
          <w:color w:val="auto"/>
          <w:kern w:val="2"/>
          <w:sz w:val="21"/>
          <w:szCs w:val="21"/>
        </w:rPr>
      </w:pPr>
      <w:bookmarkStart w:id="177" w:name="_Toc435523828"/>
      <w:bookmarkEnd w:id="177"/>
      <w:bookmarkStart w:id="178" w:name="_Toc436830289"/>
      <w:bookmarkEnd w:id="178"/>
      <w:bookmarkStart w:id="179" w:name="_Toc435525034"/>
      <w:bookmarkEnd w:id="179"/>
      <w:bookmarkStart w:id="180" w:name="_Toc435523829"/>
      <w:bookmarkEnd w:id="180"/>
      <w:bookmarkStart w:id="181" w:name="_Toc435525035"/>
      <w:bookmarkEnd w:id="181"/>
      <w:bookmarkStart w:id="182" w:name="_Toc435524040"/>
      <w:bookmarkEnd w:id="182"/>
      <w:bookmarkStart w:id="183" w:name="_Toc435524041"/>
      <w:bookmarkEnd w:id="183"/>
      <w:bookmarkStart w:id="184" w:name="_Toc436830288"/>
      <w:bookmarkEnd w:id="184"/>
      <w:bookmarkStart w:id="185" w:name="_Toc406327260"/>
      <w:bookmarkStart w:id="186" w:name="_Toc406330033"/>
      <w:bookmarkStart w:id="187" w:name="_Toc30805"/>
      <w:bookmarkStart w:id="188" w:name="_Toc472223156"/>
      <w:r>
        <w:rPr>
          <w:rFonts w:hint="eastAsia"/>
          <w:color w:val="auto"/>
          <w:kern w:val="2"/>
          <w:sz w:val="21"/>
          <w:szCs w:val="21"/>
        </w:rPr>
        <w:t>4.技术建议书和报价要求</w:t>
      </w:r>
      <w:bookmarkEnd w:id="185"/>
      <w:bookmarkEnd w:id="186"/>
      <w:bookmarkEnd w:id="187"/>
    </w:p>
    <w:p w14:paraId="63010EAE">
      <w:pPr>
        <w:pStyle w:val="12"/>
        <w:rPr>
          <w:rFonts w:hint="eastAsia"/>
          <w:color w:val="auto"/>
          <w:kern w:val="2"/>
          <w:sz w:val="21"/>
          <w:szCs w:val="21"/>
        </w:rPr>
      </w:pPr>
      <w:bookmarkStart w:id="189" w:name="_Toc21673"/>
      <w:r>
        <w:rPr>
          <w:rFonts w:hint="eastAsia"/>
          <w:color w:val="auto"/>
          <w:kern w:val="2"/>
          <w:sz w:val="21"/>
          <w:szCs w:val="21"/>
        </w:rPr>
        <w:t>4</w:t>
      </w:r>
      <w:r>
        <w:rPr>
          <w:color w:val="auto"/>
          <w:kern w:val="2"/>
          <w:sz w:val="21"/>
          <w:szCs w:val="21"/>
        </w:rPr>
        <w:t>.1</w:t>
      </w:r>
      <w:r>
        <w:rPr>
          <w:color w:val="auto"/>
          <w:sz w:val="21"/>
          <w:szCs w:val="21"/>
        </w:rPr>
        <w:t xml:space="preserve">  </w:t>
      </w:r>
      <w:r>
        <w:rPr>
          <w:color w:val="auto"/>
          <w:kern w:val="2"/>
          <w:sz w:val="21"/>
          <w:szCs w:val="21"/>
        </w:rPr>
        <w:t>技术建议书</w:t>
      </w:r>
      <w:bookmarkEnd w:id="189"/>
    </w:p>
    <w:p w14:paraId="3A9D21C5">
      <w:pPr>
        <w:pStyle w:val="2"/>
        <w:spacing w:line="240" w:lineRule="auto"/>
        <w:ind w:firstLine="420"/>
        <w:rPr>
          <w:rFonts w:hint="eastAsia" w:hAnsi="宋体"/>
          <w:color w:val="auto"/>
          <w:kern w:val="2"/>
          <w:sz w:val="21"/>
        </w:rPr>
      </w:pPr>
      <w:r>
        <w:rPr>
          <w:rFonts w:hint="eastAsia" w:hAnsi="宋体"/>
          <w:color w:val="auto"/>
          <w:kern w:val="2"/>
          <w:sz w:val="21"/>
        </w:rPr>
        <w:t>4</w:t>
      </w:r>
      <w:r>
        <w:rPr>
          <w:rFonts w:hAnsi="宋体"/>
          <w:color w:val="auto"/>
          <w:kern w:val="2"/>
          <w:sz w:val="21"/>
        </w:rPr>
        <w:t xml:space="preserve">.1.1  </w:t>
      </w:r>
      <w:r>
        <w:rPr>
          <w:rFonts w:hAnsi="宋体"/>
          <w:color w:val="auto"/>
          <w:kern w:val="2"/>
          <w:sz w:val="21"/>
          <w:lang w:val="fr-FR"/>
        </w:rPr>
        <w:t>投标人的技术建议书中，要求对本技术规格书所提出各项要求进行逐条逐项答复、说明和解释，首先对实现或满足程度明确做出“满足”、“不满足”、“部分满足”等应答，对“部分满足”做出具体、详细的说明。不得使用“明白”、“理解”等词语。在答复中，要求明确满足的程度，凡采用“详见”、“参见”方式说明的，应指明参见文档的具体章节或页码。</w:t>
      </w:r>
      <w:r>
        <w:rPr>
          <w:rFonts w:hAnsi="宋体"/>
          <w:color w:val="auto"/>
          <w:kern w:val="2"/>
          <w:sz w:val="21"/>
        </w:rPr>
        <w:t>否则即认为投标人不满足招标书要求。在未经双方商定作为订货合同的附件之前，招标人保留对本技术规范书解释和修改的权利。</w:t>
      </w:r>
    </w:p>
    <w:p w14:paraId="3925665F">
      <w:pPr>
        <w:pStyle w:val="11"/>
        <w:ind w:firstLine="420"/>
        <w:rPr>
          <w:rFonts w:hint="eastAsia"/>
          <w:color w:val="auto"/>
          <w:sz w:val="21"/>
          <w:szCs w:val="21"/>
        </w:rPr>
      </w:pPr>
      <w:r>
        <w:rPr>
          <w:rFonts w:hint="eastAsia"/>
          <w:color w:val="auto"/>
          <w:sz w:val="21"/>
          <w:szCs w:val="21"/>
        </w:rPr>
        <w:t>4</w:t>
      </w:r>
      <w:r>
        <w:rPr>
          <w:color w:val="auto"/>
          <w:sz w:val="21"/>
          <w:szCs w:val="21"/>
        </w:rPr>
        <w:t>.1.2  设备系统的介绍.</w:t>
      </w:r>
    </w:p>
    <w:p w14:paraId="6AD52240">
      <w:pPr>
        <w:pStyle w:val="11"/>
        <w:ind w:firstLine="420"/>
        <w:rPr>
          <w:rFonts w:hint="eastAsia"/>
          <w:color w:val="auto"/>
          <w:sz w:val="21"/>
          <w:szCs w:val="21"/>
          <w:lang w:val="fr-FR"/>
        </w:rPr>
      </w:pPr>
      <w:r>
        <w:rPr>
          <w:rFonts w:hint="eastAsia"/>
          <w:color w:val="auto"/>
          <w:sz w:val="21"/>
          <w:szCs w:val="21"/>
        </w:rPr>
        <w:t>4.1.3</w:t>
      </w:r>
      <w:r>
        <w:rPr>
          <w:color w:val="auto"/>
          <w:sz w:val="21"/>
          <w:szCs w:val="21"/>
        </w:rPr>
        <w:t xml:space="preserve">  </w:t>
      </w:r>
      <w:r>
        <w:rPr>
          <w:rFonts w:hint="eastAsia"/>
          <w:color w:val="auto"/>
          <w:sz w:val="21"/>
          <w:szCs w:val="21"/>
        </w:rPr>
        <w:t>设备配置（到板件级）、设备数量计算及设备数量表（包括备件明细表）。</w:t>
      </w:r>
    </w:p>
    <w:p w14:paraId="0D8FE5FE">
      <w:pPr>
        <w:pStyle w:val="11"/>
        <w:ind w:firstLine="420"/>
        <w:rPr>
          <w:rFonts w:hint="eastAsia"/>
          <w:color w:val="auto"/>
          <w:sz w:val="21"/>
          <w:szCs w:val="21"/>
        </w:rPr>
      </w:pPr>
      <w:r>
        <w:rPr>
          <w:rFonts w:hint="eastAsia"/>
          <w:color w:val="auto"/>
          <w:sz w:val="21"/>
          <w:szCs w:val="21"/>
        </w:rPr>
        <w:t>4</w:t>
      </w:r>
      <w:r>
        <w:rPr>
          <w:color w:val="auto"/>
          <w:sz w:val="21"/>
          <w:szCs w:val="21"/>
        </w:rPr>
        <w:t>.1.</w:t>
      </w:r>
      <w:r>
        <w:rPr>
          <w:rFonts w:hint="eastAsia"/>
          <w:color w:val="auto"/>
          <w:sz w:val="21"/>
          <w:szCs w:val="21"/>
        </w:rPr>
        <w:t>4</w:t>
      </w:r>
      <w:r>
        <w:rPr>
          <w:color w:val="auto"/>
          <w:sz w:val="21"/>
          <w:szCs w:val="21"/>
        </w:rPr>
        <w:t xml:space="preserve">  机架及设备的散热量及耗电量数值及计算方法。</w:t>
      </w:r>
    </w:p>
    <w:p w14:paraId="6476F4BF">
      <w:pPr>
        <w:pStyle w:val="11"/>
        <w:ind w:firstLine="420"/>
        <w:rPr>
          <w:rFonts w:hint="eastAsia"/>
          <w:color w:val="auto"/>
          <w:sz w:val="21"/>
          <w:szCs w:val="21"/>
        </w:rPr>
      </w:pPr>
      <w:r>
        <w:rPr>
          <w:rFonts w:hint="eastAsia"/>
          <w:color w:val="auto"/>
          <w:sz w:val="21"/>
          <w:szCs w:val="21"/>
        </w:rPr>
        <w:t>4</w:t>
      </w:r>
      <w:r>
        <w:rPr>
          <w:color w:val="auto"/>
          <w:sz w:val="21"/>
          <w:szCs w:val="21"/>
        </w:rPr>
        <w:t>.1.</w:t>
      </w:r>
      <w:r>
        <w:rPr>
          <w:rFonts w:hint="eastAsia"/>
          <w:color w:val="auto"/>
          <w:sz w:val="21"/>
          <w:szCs w:val="21"/>
        </w:rPr>
        <w:t>5</w:t>
      </w:r>
      <w:r>
        <w:rPr>
          <w:color w:val="auto"/>
          <w:sz w:val="21"/>
          <w:szCs w:val="21"/>
        </w:rPr>
        <w:t xml:space="preserve">  环境要求。</w:t>
      </w:r>
    </w:p>
    <w:p w14:paraId="42983B6C">
      <w:pPr>
        <w:pStyle w:val="11"/>
        <w:ind w:firstLine="420"/>
        <w:rPr>
          <w:rFonts w:hint="eastAsia"/>
          <w:color w:val="auto"/>
          <w:sz w:val="21"/>
          <w:szCs w:val="21"/>
        </w:rPr>
      </w:pPr>
      <w:r>
        <w:rPr>
          <w:rFonts w:hint="eastAsia"/>
          <w:color w:val="auto"/>
          <w:sz w:val="21"/>
          <w:szCs w:val="21"/>
        </w:rPr>
        <w:t>4</w:t>
      </w:r>
      <w:r>
        <w:rPr>
          <w:color w:val="auto"/>
          <w:sz w:val="21"/>
          <w:szCs w:val="21"/>
        </w:rPr>
        <w:t>.1.</w:t>
      </w:r>
      <w:r>
        <w:rPr>
          <w:rFonts w:hint="eastAsia"/>
          <w:color w:val="auto"/>
          <w:sz w:val="21"/>
          <w:szCs w:val="21"/>
        </w:rPr>
        <w:t>6</w:t>
      </w:r>
      <w:r>
        <w:rPr>
          <w:color w:val="auto"/>
          <w:sz w:val="21"/>
          <w:szCs w:val="21"/>
        </w:rPr>
        <w:t xml:space="preserve">  接地要求、防雷及防电磁干扰性能。</w:t>
      </w:r>
    </w:p>
    <w:p w14:paraId="652C779F">
      <w:pPr>
        <w:pStyle w:val="11"/>
        <w:ind w:firstLine="420"/>
        <w:rPr>
          <w:rFonts w:hint="eastAsia"/>
          <w:color w:val="auto"/>
          <w:sz w:val="21"/>
          <w:szCs w:val="21"/>
        </w:rPr>
      </w:pPr>
      <w:r>
        <w:rPr>
          <w:rFonts w:hint="eastAsia"/>
          <w:color w:val="auto"/>
          <w:sz w:val="21"/>
          <w:szCs w:val="21"/>
        </w:rPr>
        <w:t>4</w:t>
      </w:r>
      <w:r>
        <w:rPr>
          <w:color w:val="auto"/>
          <w:sz w:val="21"/>
          <w:szCs w:val="21"/>
        </w:rPr>
        <w:t>.1.</w:t>
      </w:r>
      <w:r>
        <w:rPr>
          <w:rFonts w:hint="eastAsia"/>
          <w:color w:val="auto"/>
          <w:sz w:val="21"/>
          <w:szCs w:val="21"/>
        </w:rPr>
        <w:t>7</w:t>
      </w:r>
      <w:r>
        <w:rPr>
          <w:color w:val="auto"/>
          <w:sz w:val="21"/>
          <w:szCs w:val="21"/>
        </w:rPr>
        <w:t xml:space="preserve">  验收测试标准、自动测试功能。</w:t>
      </w:r>
    </w:p>
    <w:p w14:paraId="75F60359">
      <w:pPr>
        <w:pStyle w:val="11"/>
        <w:ind w:firstLine="420"/>
        <w:rPr>
          <w:rFonts w:hint="eastAsia"/>
          <w:color w:val="auto"/>
          <w:sz w:val="21"/>
          <w:szCs w:val="21"/>
        </w:rPr>
      </w:pPr>
      <w:r>
        <w:rPr>
          <w:rFonts w:hint="eastAsia"/>
          <w:color w:val="auto"/>
          <w:sz w:val="21"/>
          <w:szCs w:val="21"/>
        </w:rPr>
        <w:t>4</w:t>
      </w:r>
      <w:r>
        <w:rPr>
          <w:color w:val="auto"/>
          <w:sz w:val="21"/>
          <w:szCs w:val="21"/>
        </w:rPr>
        <w:t>.1.</w:t>
      </w:r>
      <w:r>
        <w:rPr>
          <w:rFonts w:hint="eastAsia"/>
          <w:color w:val="auto"/>
          <w:sz w:val="21"/>
          <w:szCs w:val="21"/>
        </w:rPr>
        <w:t>8</w:t>
      </w:r>
      <w:r>
        <w:rPr>
          <w:color w:val="auto"/>
          <w:sz w:val="21"/>
          <w:szCs w:val="21"/>
        </w:rPr>
        <w:t xml:space="preserve">  提供设备各项技术指标和数据。</w:t>
      </w:r>
    </w:p>
    <w:p w14:paraId="79EB5F72">
      <w:pPr>
        <w:pStyle w:val="11"/>
        <w:ind w:firstLine="420"/>
        <w:rPr>
          <w:rFonts w:hint="eastAsia"/>
          <w:color w:val="auto"/>
          <w:sz w:val="21"/>
          <w:szCs w:val="21"/>
        </w:rPr>
      </w:pPr>
      <w:r>
        <w:rPr>
          <w:rFonts w:hint="eastAsia"/>
          <w:color w:val="auto"/>
          <w:sz w:val="21"/>
          <w:szCs w:val="21"/>
        </w:rPr>
        <w:t>4</w:t>
      </w:r>
      <w:r>
        <w:rPr>
          <w:color w:val="auto"/>
          <w:sz w:val="21"/>
          <w:szCs w:val="21"/>
        </w:rPr>
        <w:t>.1.</w:t>
      </w:r>
      <w:r>
        <w:rPr>
          <w:rFonts w:hint="eastAsia"/>
          <w:color w:val="auto"/>
          <w:sz w:val="21"/>
          <w:szCs w:val="21"/>
        </w:rPr>
        <w:t>9</w:t>
      </w:r>
      <w:r>
        <w:rPr>
          <w:color w:val="auto"/>
          <w:sz w:val="21"/>
          <w:szCs w:val="21"/>
        </w:rPr>
        <w:t xml:space="preserve">  所提供文件的目录。</w:t>
      </w:r>
    </w:p>
    <w:p w14:paraId="55B98AD4">
      <w:pPr>
        <w:pStyle w:val="12"/>
        <w:rPr>
          <w:rFonts w:hint="eastAsia"/>
          <w:color w:val="auto"/>
          <w:kern w:val="2"/>
          <w:sz w:val="21"/>
          <w:szCs w:val="21"/>
        </w:rPr>
      </w:pPr>
      <w:bookmarkStart w:id="190" w:name="_Toc20049"/>
      <w:r>
        <w:rPr>
          <w:rFonts w:hint="eastAsia"/>
          <w:color w:val="auto"/>
          <w:kern w:val="2"/>
          <w:sz w:val="21"/>
          <w:szCs w:val="21"/>
        </w:rPr>
        <w:t>4</w:t>
      </w:r>
      <w:r>
        <w:rPr>
          <w:color w:val="auto"/>
          <w:kern w:val="2"/>
          <w:sz w:val="21"/>
          <w:szCs w:val="21"/>
        </w:rPr>
        <w:t>.2</w:t>
      </w:r>
      <w:r>
        <w:rPr>
          <w:color w:val="auto"/>
          <w:sz w:val="21"/>
          <w:szCs w:val="21"/>
        </w:rPr>
        <w:t xml:space="preserve">  </w:t>
      </w:r>
      <w:r>
        <w:rPr>
          <w:color w:val="auto"/>
          <w:kern w:val="2"/>
          <w:sz w:val="21"/>
          <w:szCs w:val="21"/>
        </w:rPr>
        <w:t>报价要求</w:t>
      </w:r>
      <w:bookmarkEnd w:id="190"/>
    </w:p>
    <w:p w14:paraId="4A0FCEF1">
      <w:pPr>
        <w:ind w:firstLine="420" w:firstLineChars="200"/>
        <w:rPr>
          <w:color w:val="auto"/>
          <w:sz w:val="21"/>
          <w:szCs w:val="21"/>
        </w:rPr>
      </w:pPr>
      <w:bookmarkStart w:id="191" w:name="_Toc472223161"/>
      <w:r>
        <w:rPr>
          <w:color w:val="auto"/>
          <w:sz w:val="21"/>
          <w:szCs w:val="21"/>
        </w:rPr>
        <w:t xml:space="preserve">4.2.1  </w:t>
      </w:r>
      <w:r>
        <w:rPr>
          <w:rFonts w:hint="eastAsia"/>
          <w:color w:val="auto"/>
          <w:sz w:val="21"/>
          <w:szCs w:val="21"/>
        </w:rPr>
        <w:t>投标人必须提供上述所有项目的分项价格清单（即要求清单中设备的板件价格）及总价。</w:t>
      </w:r>
    </w:p>
    <w:p w14:paraId="5B82CAEA">
      <w:pPr>
        <w:pStyle w:val="11"/>
        <w:ind w:firstLine="420"/>
        <w:rPr>
          <w:rFonts w:hint="eastAsia"/>
          <w:color w:val="auto"/>
          <w:sz w:val="21"/>
          <w:szCs w:val="21"/>
        </w:rPr>
      </w:pPr>
      <w:r>
        <w:rPr>
          <w:color w:val="auto"/>
          <w:sz w:val="21"/>
          <w:szCs w:val="21"/>
        </w:rPr>
        <w:t>4.2.2  投标人应提供安装材料、专用工具和技术文件的报价，包括能满足所供设备的日常维护数量。</w:t>
      </w:r>
    </w:p>
    <w:p w14:paraId="43AF6B45">
      <w:pPr>
        <w:ind w:firstLine="420" w:firstLineChars="200"/>
        <w:rPr>
          <w:color w:val="auto"/>
          <w:sz w:val="21"/>
          <w:szCs w:val="21"/>
        </w:rPr>
      </w:pPr>
      <w:r>
        <w:rPr>
          <w:color w:val="auto"/>
          <w:sz w:val="21"/>
          <w:szCs w:val="21"/>
        </w:rPr>
        <w:t>4.2.3  投标人应补充本清单未列出的、确保系统顺利实施所需要的其它一切设备、材料、软件明细等，并计入投标总报价。</w:t>
      </w:r>
    </w:p>
    <w:p w14:paraId="3BB2FE00">
      <w:pPr>
        <w:ind w:firstLine="420" w:firstLineChars="200"/>
        <w:rPr>
          <w:color w:val="auto"/>
          <w:sz w:val="21"/>
          <w:szCs w:val="21"/>
        </w:rPr>
      </w:pPr>
      <w:r>
        <w:rPr>
          <w:color w:val="auto"/>
          <w:sz w:val="21"/>
          <w:szCs w:val="21"/>
        </w:rPr>
        <w:t xml:space="preserve">4.2.4  </w:t>
      </w:r>
      <w:r>
        <w:rPr>
          <w:rFonts w:hint="eastAsia"/>
          <w:color w:val="auto"/>
          <w:sz w:val="21"/>
          <w:szCs w:val="21"/>
        </w:rPr>
        <w:t>投标人应核实和评估外部条件对系统方案的影响。应充分考虑整个系统设备之间的接口问题；所供设备与其他系统设备，所供设备与既有相关设备，及与之相关的既有设备的扩容等接口问题。投标人有责任解决接口问题，并负责解决接口问题的相应费用。</w:t>
      </w:r>
    </w:p>
    <w:p w14:paraId="5CC707DC">
      <w:pPr>
        <w:ind w:firstLine="420" w:firstLineChars="200"/>
        <w:rPr>
          <w:color w:val="auto"/>
          <w:sz w:val="21"/>
          <w:szCs w:val="21"/>
        </w:rPr>
      </w:pPr>
      <w:r>
        <w:rPr>
          <w:color w:val="auto"/>
          <w:sz w:val="21"/>
          <w:szCs w:val="21"/>
        </w:rPr>
        <w:t xml:space="preserve">4.2.5  </w:t>
      </w:r>
      <w:r>
        <w:rPr>
          <w:rFonts w:hint="eastAsia"/>
          <w:color w:val="auto"/>
          <w:sz w:val="21"/>
          <w:szCs w:val="21"/>
        </w:rPr>
        <w:t>投标人应满足但不限于招标文件所述的功能需求，并根据功能需求确定系统实施方案及详细设备、材料、软件等配置清单。</w:t>
      </w:r>
    </w:p>
    <w:bookmarkEnd w:id="191"/>
    <w:p w14:paraId="5A857629">
      <w:pPr>
        <w:pStyle w:val="8"/>
        <w:rPr>
          <w:rFonts w:hint="eastAsia"/>
          <w:color w:val="auto"/>
          <w:kern w:val="2"/>
          <w:sz w:val="21"/>
          <w:szCs w:val="21"/>
        </w:rPr>
      </w:pPr>
      <w:bookmarkStart w:id="192" w:name="_Toc436830302"/>
      <w:bookmarkEnd w:id="192"/>
      <w:bookmarkStart w:id="193" w:name="_Toc435523835"/>
      <w:bookmarkEnd w:id="193"/>
      <w:bookmarkStart w:id="194" w:name="_Toc435524046"/>
      <w:bookmarkEnd w:id="194"/>
      <w:bookmarkStart w:id="195" w:name="_Toc435523833"/>
      <w:bookmarkEnd w:id="195"/>
      <w:bookmarkStart w:id="196" w:name="_Toc436830297"/>
      <w:bookmarkEnd w:id="196"/>
      <w:bookmarkStart w:id="197" w:name="_Toc436830298"/>
      <w:bookmarkEnd w:id="197"/>
      <w:bookmarkStart w:id="198" w:name="_Toc435525044"/>
      <w:bookmarkEnd w:id="198"/>
      <w:bookmarkStart w:id="199" w:name="_Toc436830291"/>
      <w:bookmarkEnd w:id="199"/>
      <w:bookmarkStart w:id="200" w:name="_Toc435524050"/>
      <w:bookmarkEnd w:id="200"/>
      <w:bookmarkStart w:id="201" w:name="_Toc435524044"/>
      <w:bookmarkEnd w:id="201"/>
      <w:bookmarkStart w:id="202" w:name="_Toc435525042"/>
      <w:bookmarkEnd w:id="202"/>
      <w:bookmarkStart w:id="203" w:name="_Toc435523837"/>
      <w:bookmarkEnd w:id="203"/>
      <w:bookmarkStart w:id="204" w:name="_Toc436830296"/>
      <w:bookmarkEnd w:id="204"/>
      <w:bookmarkStart w:id="205" w:name="_Toc435524052"/>
      <w:bookmarkEnd w:id="205"/>
      <w:bookmarkStart w:id="206" w:name="_Toc436830299"/>
      <w:bookmarkEnd w:id="206"/>
      <w:bookmarkStart w:id="207" w:name="_Toc436830295"/>
      <w:bookmarkEnd w:id="207"/>
      <w:bookmarkStart w:id="208" w:name="_Toc435524048"/>
      <w:bookmarkEnd w:id="208"/>
      <w:bookmarkStart w:id="209" w:name="_Toc435523839"/>
      <w:bookmarkEnd w:id="209"/>
      <w:bookmarkStart w:id="210" w:name="_Toc435525046"/>
      <w:bookmarkEnd w:id="210"/>
      <w:bookmarkStart w:id="211" w:name="_Toc435524055"/>
      <w:bookmarkEnd w:id="211"/>
      <w:bookmarkStart w:id="212" w:name="_Toc436830294"/>
      <w:bookmarkEnd w:id="212"/>
      <w:bookmarkStart w:id="213" w:name="_Toc435523842"/>
      <w:bookmarkEnd w:id="213"/>
      <w:bookmarkStart w:id="214" w:name="_Toc436830301"/>
      <w:bookmarkEnd w:id="214"/>
      <w:bookmarkStart w:id="215" w:name="_Toc435525041"/>
      <w:bookmarkEnd w:id="215"/>
      <w:bookmarkStart w:id="216" w:name="_Toc435524047"/>
      <w:bookmarkEnd w:id="216"/>
      <w:bookmarkStart w:id="217" w:name="_Toc435523838"/>
      <w:bookmarkEnd w:id="217"/>
      <w:bookmarkStart w:id="218" w:name="_Toc436830300"/>
      <w:bookmarkEnd w:id="218"/>
      <w:bookmarkStart w:id="219" w:name="_Toc435525048"/>
      <w:bookmarkEnd w:id="219"/>
      <w:bookmarkStart w:id="220" w:name="_Toc435523834"/>
      <w:bookmarkEnd w:id="220"/>
      <w:bookmarkStart w:id="221" w:name="_Toc435525037"/>
      <w:bookmarkEnd w:id="221"/>
      <w:bookmarkStart w:id="222" w:name="_Toc435524051"/>
      <w:bookmarkEnd w:id="222"/>
      <w:bookmarkStart w:id="223" w:name="_Toc436830292"/>
      <w:bookmarkEnd w:id="223"/>
      <w:bookmarkStart w:id="224" w:name="_Toc435523840"/>
      <w:bookmarkEnd w:id="224"/>
      <w:bookmarkStart w:id="225" w:name="_Toc435525038"/>
      <w:bookmarkEnd w:id="225"/>
      <w:bookmarkStart w:id="226" w:name="_Toc435525040"/>
      <w:bookmarkEnd w:id="226"/>
      <w:bookmarkStart w:id="227" w:name="_Toc435523832"/>
      <w:bookmarkEnd w:id="227"/>
      <w:bookmarkStart w:id="228" w:name="_Toc435524049"/>
      <w:bookmarkEnd w:id="228"/>
      <w:bookmarkStart w:id="229" w:name="_Toc435525047"/>
      <w:bookmarkEnd w:id="229"/>
      <w:bookmarkStart w:id="230" w:name="_Toc436830293"/>
      <w:bookmarkEnd w:id="230"/>
      <w:bookmarkStart w:id="231" w:name="_Toc435524045"/>
      <w:bookmarkEnd w:id="231"/>
      <w:bookmarkStart w:id="232" w:name="_Toc435525039"/>
      <w:bookmarkEnd w:id="232"/>
      <w:bookmarkStart w:id="233" w:name="_Toc435524053"/>
      <w:bookmarkEnd w:id="233"/>
      <w:bookmarkStart w:id="234" w:name="_Toc435523831"/>
      <w:bookmarkEnd w:id="234"/>
      <w:bookmarkStart w:id="235" w:name="_Toc435523836"/>
      <w:bookmarkEnd w:id="235"/>
      <w:bookmarkStart w:id="236" w:name="_Toc435523843"/>
      <w:bookmarkEnd w:id="236"/>
      <w:bookmarkStart w:id="237" w:name="_Toc435525043"/>
      <w:bookmarkEnd w:id="237"/>
      <w:bookmarkStart w:id="238" w:name="_Toc435524043"/>
      <w:bookmarkEnd w:id="238"/>
      <w:bookmarkStart w:id="239" w:name="_Toc435525045"/>
      <w:bookmarkEnd w:id="239"/>
      <w:bookmarkStart w:id="240" w:name="_Toc436830303"/>
      <w:bookmarkEnd w:id="240"/>
      <w:bookmarkStart w:id="241" w:name="_Toc435523841"/>
      <w:bookmarkEnd w:id="241"/>
      <w:bookmarkStart w:id="242" w:name="_Toc435525049"/>
      <w:bookmarkEnd w:id="242"/>
      <w:bookmarkStart w:id="243" w:name="_Toc435524054"/>
      <w:bookmarkEnd w:id="243"/>
      <w:bookmarkStart w:id="244" w:name="_Toc406330035"/>
      <w:bookmarkStart w:id="245" w:name="_Toc161460694"/>
      <w:bookmarkStart w:id="246" w:name="_Toc472223163"/>
      <w:bookmarkStart w:id="247" w:name="_Toc1696"/>
      <w:bookmarkStart w:id="248" w:name="_Toc406327262"/>
      <w:r>
        <w:rPr>
          <w:rFonts w:hint="eastAsia"/>
          <w:color w:val="auto"/>
          <w:kern w:val="2"/>
          <w:sz w:val="21"/>
          <w:szCs w:val="21"/>
        </w:rPr>
        <w:t>5.技术服务及技术培训</w:t>
      </w:r>
      <w:bookmarkEnd w:id="244"/>
      <w:bookmarkEnd w:id="245"/>
      <w:bookmarkEnd w:id="246"/>
      <w:bookmarkEnd w:id="247"/>
      <w:bookmarkEnd w:id="248"/>
    </w:p>
    <w:p w14:paraId="4D12EAAB">
      <w:pPr>
        <w:pStyle w:val="12"/>
        <w:rPr>
          <w:rFonts w:hint="eastAsia"/>
          <w:color w:val="auto"/>
          <w:kern w:val="2"/>
          <w:sz w:val="21"/>
          <w:szCs w:val="21"/>
        </w:rPr>
      </w:pPr>
      <w:bookmarkStart w:id="249" w:name="_Toc14923"/>
      <w:r>
        <w:rPr>
          <w:rFonts w:hint="eastAsia"/>
          <w:color w:val="auto"/>
          <w:kern w:val="2"/>
          <w:sz w:val="21"/>
          <w:szCs w:val="21"/>
        </w:rPr>
        <w:t>5</w:t>
      </w:r>
      <w:r>
        <w:rPr>
          <w:color w:val="auto"/>
          <w:kern w:val="2"/>
          <w:sz w:val="21"/>
          <w:szCs w:val="21"/>
        </w:rPr>
        <w:t>.1</w:t>
      </w:r>
      <w:r>
        <w:rPr>
          <w:color w:val="auto"/>
          <w:sz w:val="21"/>
          <w:szCs w:val="21"/>
        </w:rPr>
        <w:t xml:space="preserve">  </w:t>
      </w:r>
      <w:r>
        <w:rPr>
          <w:color w:val="auto"/>
          <w:kern w:val="2"/>
          <w:sz w:val="21"/>
          <w:szCs w:val="21"/>
        </w:rPr>
        <w:t>基本要求</w:t>
      </w:r>
      <w:bookmarkEnd w:id="249"/>
    </w:p>
    <w:p w14:paraId="69C191E9">
      <w:pPr>
        <w:pStyle w:val="2"/>
        <w:spacing w:line="240" w:lineRule="auto"/>
        <w:ind w:firstLine="420"/>
        <w:rPr>
          <w:rFonts w:hint="eastAsia" w:hAnsi="宋体"/>
          <w:color w:val="auto"/>
          <w:kern w:val="2"/>
          <w:sz w:val="21"/>
        </w:rPr>
      </w:pPr>
      <w:r>
        <w:rPr>
          <w:rFonts w:hint="eastAsia" w:hAnsi="宋体"/>
          <w:color w:val="auto"/>
          <w:kern w:val="2"/>
          <w:sz w:val="21"/>
        </w:rPr>
        <w:t>5</w:t>
      </w:r>
      <w:r>
        <w:rPr>
          <w:rFonts w:hAnsi="宋体"/>
          <w:color w:val="auto"/>
          <w:kern w:val="2"/>
          <w:sz w:val="21"/>
        </w:rPr>
        <w:t>.1.1  投标人的责任包括从设备的设计、制造到整套设备的交付使用（包括有关设备的连接）以及技术条款所规定的正常运转，在产品安装和交付使用期间，投标人应派适宜的技术人员到用户工地进行指导，并且对整个系统的开通负有责任。</w:t>
      </w:r>
    </w:p>
    <w:p w14:paraId="42079826">
      <w:pPr>
        <w:pStyle w:val="2"/>
        <w:spacing w:line="240" w:lineRule="auto"/>
        <w:ind w:firstLine="420"/>
        <w:rPr>
          <w:rFonts w:hint="eastAsia" w:hAnsi="宋体"/>
          <w:color w:val="auto"/>
          <w:kern w:val="2"/>
          <w:sz w:val="21"/>
        </w:rPr>
      </w:pPr>
      <w:r>
        <w:rPr>
          <w:rFonts w:hint="eastAsia" w:hAnsi="宋体"/>
          <w:color w:val="auto"/>
          <w:kern w:val="2"/>
          <w:sz w:val="21"/>
        </w:rPr>
        <w:t>5</w:t>
      </w:r>
      <w:r>
        <w:rPr>
          <w:rFonts w:hAnsi="宋体"/>
          <w:color w:val="auto"/>
          <w:kern w:val="2"/>
          <w:sz w:val="21"/>
        </w:rPr>
        <w:t>.1.2  投标人应向招标人工地派出与所签合同项目有关的技术服务人员。服务时间与人员数目由投标人在投标时讲明。</w:t>
      </w:r>
    </w:p>
    <w:p w14:paraId="3864B0FD">
      <w:pPr>
        <w:pStyle w:val="2"/>
        <w:spacing w:line="240" w:lineRule="auto"/>
        <w:ind w:firstLine="420"/>
        <w:rPr>
          <w:rFonts w:hint="eastAsia" w:hAnsi="宋体"/>
          <w:color w:val="auto"/>
          <w:kern w:val="2"/>
          <w:sz w:val="21"/>
        </w:rPr>
      </w:pPr>
      <w:r>
        <w:rPr>
          <w:rFonts w:hint="eastAsia" w:hAnsi="宋体"/>
          <w:color w:val="auto"/>
          <w:kern w:val="2"/>
          <w:sz w:val="21"/>
        </w:rPr>
        <w:t>5</w:t>
      </w:r>
      <w:r>
        <w:rPr>
          <w:rFonts w:hAnsi="宋体"/>
          <w:color w:val="auto"/>
          <w:kern w:val="2"/>
          <w:sz w:val="21"/>
        </w:rPr>
        <w:t>.1.3  在质量保证期间，在招标人发出通知48小时内投标人应提供维修服务，免费调整或替换不合格的零部件或设备，以便保证设备正常运转。</w:t>
      </w:r>
    </w:p>
    <w:p w14:paraId="09E6A2D2">
      <w:pPr>
        <w:pStyle w:val="2"/>
        <w:spacing w:line="240" w:lineRule="auto"/>
        <w:ind w:firstLine="420"/>
        <w:rPr>
          <w:rFonts w:hint="eastAsia" w:hAnsi="宋体"/>
          <w:color w:val="auto"/>
          <w:kern w:val="2"/>
          <w:sz w:val="21"/>
        </w:rPr>
      </w:pPr>
      <w:r>
        <w:rPr>
          <w:rFonts w:hint="eastAsia" w:hAnsi="宋体"/>
          <w:color w:val="auto"/>
          <w:kern w:val="2"/>
          <w:sz w:val="21"/>
        </w:rPr>
        <w:t>5</w:t>
      </w:r>
      <w:r>
        <w:rPr>
          <w:rFonts w:hAnsi="宋体"/>
          <w:color w:val="auto"/>
          <w:kern w:val="2"/>
          <w:sz w:val="21"/>
        </w:rPr>
        <w:t>.1.4  投标人应在制造厂和招标人工地提供良好的技术培训。投标书应明确培训时间和培训人员。培训费用单独报价，其报价计入设备的基本价格内。培训安排和费用在签订合同时商定。</w:t>
      </w:r>
    </w:p>
    <w:p w14:paraId="7000FBA6">
      <w:pPr>
        <w:ind w:firstLine="420" w:firstLineChars="200"/>
        <w:rPr>
          <w:color w:val="auto"/>
          <w:sz w:val="21"/>
          <w:szCs w:val="21"/>
        </w:rPr>
      </w:pPr>
      <w:r>
        <w:rPr>
          <w:rFonts w:hint="eastAsia"/>
          <w:color w:val="auto"/>
          <w:sz w:val="21"/>
          <w:szCs w:val="21"/>
        </w:rPr>
        <w:t>5</w:t>
      </w:r>
      <w:r>
        <w:rPr>
          <w:color w:val="auto"/>
          <w:sz w:val="21"/>
          <w:szCs w:val="21"/>
        </w:rPr>
        <w:t xml:space="preserve">.1.5  </w:t>
      </w:r>
      <w:r>
        <w:rPr>
          <w:rFonts w:hint="eastAsia"/>
          <w:color w:val="auto"/>
          <w:sz w:val="21"/>
          <w:szCs w:val="21"/>
        </w:rPr>
        <w:t>投标人应明确做出所供设备全寿命周期内的服务承诺（设备停产时间、停服时间、售后服务期等）。</w:t>
      </w:r>
    </w:p>
    <w:p w14:paraId="70C2F355">
      <w:pPr>
        <w:pStyle w:val="12"/>
        <w:rPr>
          <w:rFonts w:hint="eastAsia"/>
          <w:color w:val="auto"/>
          <w:kern w:val="2"/>
          <w:sz w:val="21"/>
          <w:szCs w:val="21"/>
        </w:rPr>
      </w:pPr>
      <w:bookmarkStart w:id="250" w:name="_Toc25652"/>
      <w:r>
        <w:rPr>
          <w:rFonts w:hint="eastAsia"/>
          <w:color w:val="auto"/>
          <w:kern w:val="2"/>
          <w:sz w:val="21"/>
          <w:szCs w:val="21"/>
        </w:rPr>
        <w:t>5</w:t>
      </w:r>
      <w:r>
        <w:rPr>
          <w:color w:val="auto"/>
          <w:kern w:val="2"/>
          <w:sz w:val="21"/>
          <w:szCs w:val="21"/>
        </w:rPr>
        <w:t>.2</w:t>
      </w:r>
      <w:r>
        <w:rPr>
          <w:color w:val="auto"/>
          <w:sz w:val="21"/>
          <w:szCs w:val="21"/>
        </w:rPr>
        <w:t xml:space="preserve">  </w:t>
      </w:r>
      <w:r>
        <w:rPr>
          <w:color w:val="auto"/>
          <w:kern w:val="2"/>
          <w:sz w:val="21"/>
          <w:szCs w:val="21"/>
        </w:rPr>
        <w:t>技术服务</w:t>
      </w:r>
      <w:bookmarkEnd w:id="250"/>
    </w:p>
    <w:p w14:paraId="01FDF09B">
      <w:pPr>
        <w:pStyle w:val="11"/>
        <w:ind w:firstLine="420"/>
        <w:rPr>
          <w:rFonts w:hint="eastAsia"/>
          <w:color w:val="auto"/>
          <w:sz w:val="21"/>
          <w:szCs w:val="21"/>
        </w:rPr>
      </w:pPr>
      <w:r>
        <w:rPr>
          <w:rFonts w:hint="eastAsia"/>
          <w:color w:val="auto"/>
          <w:sz w:val="21"/>
          <w:szCs w:val="21"/>
        </w:rPr>
        <w:t>5</w:t>
      </w:r>
      <w:r>
        <w:rPr>
          <w:color w:val="auto"/>
          <w:sz w:val="21"/>
          <w:szCs w:val="21"/>
        </w:rPr>
        <w:t>.2.1  安装技术指导</w:t>
      </w:r>
    </w:p>
    <w:p w14:paraId="06040D01">
      <w:pPr>
        <w:pStyle w:val="2"/>
        <w:spacing w:line="240" w:lineRule="auto"/>
        <w:ind w:firstLine="420"/>
        <w:rPr>
          <w:rFonts w:hint="eastAsia" w:hAnsi="宋体"/>
          <w:color w:val="auto"/>
          <w:kern w:val="2"/>
          <w:sz w:val="21"/>
        </w:rPr>
      </w:pPr>
      <w:r>
        <w:rPr>
          <w:rFonts w:hAnsi="宋体"/>
          <w:color w:val="auto"/>
          <w:kern w:val="2"/>
          <w:sz w:val="21"/>
        </w:rPr>
        <w:t>在本工程开通验收测试合格以前，投标人应向招标人提供安装调试的技术指导。</w:t>
      </w:r>
    </w:p>
    <w:p w14:paraId="647396A9">
      <w:pPr>
        <w:pStyle w:val="11"/>
        <w:ind w:firstLine="420"/>
        <w:rPr>
          <w:rFonts w:hint="eastAsia"/>
          <w:color w:val="auto"/>
          <w:sz w:val="21"/>
          <w:szCs w:val="21"/>
        </w:rPr>
      </w:pPr>
      <w:r>
        <w:rPr>
          <w:rFonts w:hint="eastAsia"/>
          <w:color w:val="auto"/>
          <w:sz w:val="21"/>
          <w:szCs w:val="21"/>
        </w:rPr>
        <w:t>5</w:t>
      </w:r>
      <w:r>
        <w:rPr>
          <w:color w:val="auto"/>
          <w:sz w:val="21"/>
          <w:szCs w:val="21"/>
        </w:rPr>
        <w:t>.2.2  维护技术支援和系统硬件及软件的修改。</w:t>
      </w:r>
    </w:p>
    <w:p w14:paraId="4167C42D">
      <w:pPr>
        <w:pStyle w:val="2"/>
        <w:spacing w:line="240" w:lineRule="auto"/>
        <w:ind w:firstLine="420"/>
        <w:rPr>
          <w:rFonts w:hint="eastAsia" w:hAnsi="宋体"/>
          <w:color w:val="auto"/>
          <w:kern w:val="2"/>
          <w:sz w:val="21"/>
        </w:rPr>
      </w:pPr>
      <w:r>
        <w:rPr>
          <w:rFonts w:hint="eastAsia" w:hAnsi="宋体"/>
          <w:color w:val="auto"/>
          <w:kern w:val="2"/>
          <w:sz w:val="21"/>
        </w:rPr>
        <w:t>5</w:t>
      </w:r>
      <w:r>
        <w:rPr>
          <w:rFonts w:hAnsi="宋体"/>
          <w:color w:val="auto"/>
          <w:kern w:val="2"/>
          <w:sz w:val="21"/>
        </w:rPr>
        <w:t>.2.3  在安装期与运营期内，投标人应免费提供任何由于系统设计、设备制造、程序汇编、安装等缺陷引起的设备更换和软件修改及所需工具。投标时，应在标书中明确供货商提供该项支援的响应时间。</w:t>
      </w:r>
    </w:p>
    <w:p w14:paraId="44DDC764">
      <w:pPr>
        <w:pStyle w:val="2"/>
        <w:spacing w:line="240" w:lineRule="auto"/>
        <w:ind w:firstLine="420"/>
        <w:rPr>
          <w:rFonts w:hint="eastAsia" w:hAnsi="宋体"/>
          <w:color w:val="auto"/>
          <w:kern w:val="2"/>
          <w:sz w:val="21"/>
        </w:rPr>
      </w:pPr>
      <w:r>
        <w:rPr>
          <w:rFonts w:hint="eastAsia" w:hAnsi="宋体"/>
          <w:color w:val="auto"/>
          <w:kern w:val="2"/>
          <w:sz w:val="21"/>
        </w:rPr>
        <w:t>5</w:t>
      </w:r>
      <w:r>
        <w:rPr>
          <w:rFonts w:hAnsi="宋体"/>
          <w:color w:val="auto"/>
          <w:kern w:val="2"/>
          <w:sz w:val="21"/>
        </w:rPr>
        <w:t>.2.4  在验收前，投标人所提供设备的硬件或软件有任何性能或功能的改进时，投标人应免费提供软件及硬件的升级修改。</w:t>
      </w:r>
    </w:p>
    <w:p w14:paraId="0B372764">
      <w:pPr>
        <w:pStyle w:val="2"/>
        <w:spacing w:line="240" w:lineRule="auto"/>
        <w:ind w:firstLine="420"/>
        <w:rPr>
          <w:rFonts w:hint="eastAsia" w:hAnsi="宋体"/>
          <w:color w:val="auto"/>
          <w:kern w:val="2"/>
          <w:sz w:val="21"/>
        </w:rPr>
      </w:pPr>
      <w:r>
        <w:rPr>
          <w:rFonts w:hint="eastAsia" w:hAnsi="宋体"/>
          <w:color w:val="auto"/>
          <w:kern w:val="2"/>
          <w:sz w:val="21"/>
        </w:rPr>
        <w:t>5</w:t>
      </w:r>
      <w:r>
        <w:rPr>
          <w:rFonts w:hAnsi="宋体"/>
          <w:color w:val="auto"/>
          <w:kern w:val="2"/>
          <w:sz w:val="21"/>
        </w:rPr>
        <w:t>.2.5  投标人所提供的系统，在质量保证期内</w:t>
      </w:r>
      <w:r>
        <w:rPr>
          <w:rFonts w:hint="eastAsia" w:hAnsi="宋体"/>
          <w:color w:val="auto"/>
          <w:kern w:val="2"/>
          <w:sz w:val="21"/>
        </w:rPr>
        <w:t>硬件或系统软件的升级应由设备供应商免费提供；</w:t>
      </w:r>
      <w:r>
        <w:rPr>
          <w:rFonts w:hAnsi="宋体"/>
          <w:color w:val="auto"/>
          <w:kern w:val="2"/>
          <w:sz w:val="21"/>
        </w:rPr>
        <w:t>在</w:t>
      </w:r>
      <w:r>
        <w:rPr>
          <w:rFonts w:hint="eastAsia" w:hAnsi="宋体"/>
          <w:color w:val="auto"/>
          <w:kern w:val="2"/>
          <w:sz w:val="21"/>
        </w:rPr>
        <w:t>质量保证期</w:t>
      </w:r>
      <w:r>
        <w:rPr>
          <w:rFonts w:hAnsi="宋体"/>
          <w:color w:val="auto"/>
          <w:kern w:val="2"/>
          <w:sz w:val="21"/>
        </w:rPr>
        <w:t>满后硬件或软件方面有任何性能或功能的改进，投标人应书面通知招标人其改进的详细情况，并提供以优惠报价，以便招标人选择。招标人需增订备件时，投标人应以不高于合同单价的价格供货。</w:t>
      </w:r>
    </w:p>
    <w:p w14:paraId="5DEED58F">
      <w:pPr>
        <w:pStyle w:val="11"/>
        <w:ind w:firstLine="420"/>
        <w:rPr>
          <w:rFonts w:hint="eastAsia"/>
          <w:color w:val="auto"/>
          <w:sz w:val="21"/>
          <w:szCs w:val="21"/>
        </w:rPr>
      </w:pPr>
      <w:r>
        <w:rPr>
          <w:rFonts w:hint="eastAsia"/>
          <w:color w:val="auto"/>
          <w:sz w:val="21"/>
          <w:szCs w:val="21"/>
        </w:rPr>
        <w:t>5.2.6</w:t>
      </w:r>
      <w:r>
        <w:rPr>
          <w:color w:val="auto"/>
          <w:sz w:val="21"/>
          <w:szCs w:val="21"/>
        </w:rPr>
        <w:t xml:space="preserve">  </w:t>
      </w:r>
      <w:r>
        <w:rPr>
          <w:rFonts w:hint="eastAsia"/>
          <w:color w:val="auto"/>
          <w:sz w:val="21"/>
          <w:szCs w:val="21"/>
        </w:rPr>
        <w:t>网络优化</w:t>
      </w:r>
    </w:p>
    <w:p w14:paraId="2E83AB90">
      <w:pPr>
        <w:pStyle w:val="13"/>
        <w:wordWrap/>
        <w:spacing w:after="0" w:afterLines="0" w:line="240" w:lineRule="auto"/>
        <w:ind w:firstLine="420" w:firstLineChars="200"/>
        <w:rPr>
          <w:rFonts w:hint="eastAsia"/>
          <w:color w:val="auto"/>
          <w:sz w:val="21"/>
          <w:szCs w:val="21"/>
        </w:rPr>
      </w:pPr>
      <w:r>
        <w:rPr>
          <w:rFonts w:hint="eastAsia"/>
          <w:color w:val="auto"/>
          <w:sz w:val="21"/>
          <w:szCs w:val="21"/>
        </w:rPr>
        <w:t>无线网络优化由投标人负责实施（包括网络优化过程中的相关测试），并对网络整体质量和性能指标负责。网络优化时投标人应派出技术精干的工程技术人员进行现场网络优化，并固定网络优化团队，将现场技术人员相关资料提前提交招标人。网络优化包括两阶段，第一阶段为网络调试及试运行期间，第二阶段为质量保证期内。</w:t>
      </w:r>
    </w:p>
    <w:p w14:paraId="0C597A46">
      <w:pPr>
        <w:pStyle w:val="13"/>
        <w:wordWrap/>
        <w:spacing w:after="0" w:afterLines="0" w:line="240" w:lineRule="auto"/>
        <w:ind w:firstLine="420" w:firstLineChars="200"/>
        <w:rPr>
          <w:rFonts w:hint="eastAsia"/>
          <w:color w:val="auto"/>
          <w:sz w:val="21"/>
          <w:szCs w:val="21"/>
        </w:rPr>
      </w:pPr>
      <w:r>
        <w:rPr>
          <w:rFonts w:hint="eastAsia"/>
          <w:color w:val="auto"/>
          <w:sz w:val="21"/>
          <w:szCs w:val="21"/>
        </w:rPr>
        <w:t>网络优化在招标人的组织下进行，投标人应提供网络优化所必须的测试工具、仪器仪表（含软件）等，并提供相应的汽车交通工具等。</w:t>
      </w:r>
    </w:p>
    <w:p w14:paraId="5FB4836E">
      <w:pPr>
        <w:pStyle w:val="13"/>
        <w:wordWrap/>
        <w:spacing w:after="0" w:afterLines="0" w:line="240" w:lineRule="auto"/>
        <w:ind w:firstLine="420" w:firstLineChars="200"/>
        <w:rPr>
          <w:rFonts w:hint="eastAsia"/>
          <w:color w:val="auto"/>
          <w:sz w:val="21"/>
          <w:szCs w:val="21"/>
        </w:rPr>
      </w:pPr>
      <w:r>
        <w:rPr>
          <w:rFonts w:hint="eastAsia"/>
          <w:color w:val="auto"/>
          <w:sz w:val="21"/>
          <w:szCs w:val="21"/>
        </w:rPr>
        <w:t>投标人派遣至</w:t>
      </w:r>
      <w:r>
        <w:rPr>
          <w:rFonts w:hint="eastAsia"/>
          <w:color w:val="auto"/>
          <w:sz w:val="21"/>
          <w:szCs w:val="21"/>
          <w:lang w:val="fr-FR"/>
        </w:rPr>
        <w:t>现场</w:t>
      </w:r>
      <w:r>
        <w:rPr>
          <w:rFonts w:hint="eastAsia"/>
          <w:color w:val="auto"/>
          <w:sz w:val="21"/>
          <w:szCs w:val="21"/>
        </w:rPr>
        <w:t>的主要网优人员应具备以下要求：</w:t>
      </w:r>
    </w:p>
    <w:p w14:paraId="2B22EF0D">
      <w:pPr>
        <w:pStyle w:val="13"/>
        <w:wordWrap/>
        <w:spacing w:after="0" w:afterLines="0" w:line="240" w:lineRule="auto"/>
        <w:ind w:firstLine="420" w:firstLineChars="200"/>
        <w:rPr>
          <w:rFonts w:hint="eastAsia"/>
          <w:color w:val="auto"/>
          <w:sz w:val="21"/>
          <w:szCs w:val="21"/>
        </w:rPr>
      </w:pPr>
      <w:r>
        <w:rPr>
          <w:rFonts w:ascii="Wingdings" w:hAnsi="Wingdings"/>
          <w:color w:val="auto"/>
          <w:sz w:val="21"/>
          <w:szCs w:val="21"/>
        </w:rPr>
        <w:t></w:t>
      </w:r>
      <w:r>
        <w:rPr>
          <w:rFonts w:ascii="Wingdings" w:hAnsi="Wingdings"/>
          <w:color w:val="auto"/>
          <w:sz w:val="21"/>
          <w:szCs w:val="21"/>
        </w:rPr>
        <w:tab/>
      </w:r>
      <w:r>
        <w:rPr>
          <w:rFonts w:hint="eastAsia"/>
          <w:color w:val="auto"/>
          <w:sz w:val="21"/>
          <w:szCs w:val="21"/>
        </w:rPr>
        <w:t>为设备投标人的技术人员，非第三方技术人员，投标人须提供相应证明文件；</w:t>
      </w:r>
    </w:p>
    <w:p w14:paraId="76398243">
      <w:pPr>
        <w:pStyle w:val="13"/>
        <w:wordWrap/>
        <w:spacing w:after="0" w:afterLines="0" w:line="240" w:lineRule="auto"/>
        <w:ind w:firstLine="420" w:firstLineChars="200"/>
        <w:rPr>
          <w:rFonts w:hint="eastAsia"/>
          <w:color w:val="auto"/>
          <w:sz w:val="21"/>
          <w:szCs w:val="21"/>
        </w:rPr>
      </w:pPr>
      <w:r>
        <w:rPr>
          <w:rFonts w:ascii="Wingdings" w:hAnsi="Wingdings"/>
          <w:color w:val="auto"/>
          <w:sz w:val="21"/>
          <w:szCs w:val="21"/>
        </w:rPr>
        <w:t></w:t>
      </w:r>
      <w:r>
        <w:rPr>
          <w:rFonts w:ascii="Wingdings" w:hAnsi="Wingdings"/>
          <w:color w:val="auto"/>
          <w:sz w:val="21"/>
          <w:szCs w:val="21"/>
        </w:rPr>
        <w:tab/>
      </w:r>
      <w:r>
        <w:rPr>
          <w:rFonts w:hint="eastAsia"/>
          <w:color w:val="auto"/>
          <w:sz w:val="21"/>
          <w:szCs w:val="21"/>
        </w:rPr>
        <w:t>具有3年</w:t>
      </w:r>
      <w:r>
        <w:rPr>
          <w:rFonts w:hint="eastAsia"/>
          <w:color w:val="auto"/>
          <w:sz w:val="21"/>
          <w:szCs w:val="21"/>
          <w:lang w:val="fr-FR"/>
        </w:rPr>
        <w:t>以上</w:t>
      </w:r>
      <w:r>
        <w:rPr>
          <w:rFonts w:hint="eastAsia"/>
          <w:color w:val="auto"/>
          <w:sz w:val="21"/>
          <w:szCs w:val="21"/>
        </w:rPr>
        <w:t>工作经验网络优化技术人员进驻工程实施现场时应向招标人提供相应的资历证明文件。</w:t>
      </w:r>
    </w:p>
    <w:p w14:paraId="17473B8E">
      <w:pPr>
        <w:pStyle w:val="13"/>
        <w:wordWrap/>
        <w:spacing w:after="0" w:afterLines="0" w:line="240" w:lineRule="auto"/>
        <w:ind w:firstLine="420" w:firstLineChars="200"/>
        <w:rPr>
          <w:rFonts w:hint="eastAsia"/>
          <w:color w:val="auto"/>
          <w:sz w:val="21"/>
          <w:szCs w:val="21"/>
        </w:rPr>
      </w:pPr>
      <w:r>
        <w:rPr>
          <w:rFonts w:hint="eastAsia"/>
          <w:color w:val="auto"/>
          <w:sz w:val="21"/>
          <w:szCs w:val="21"/>
        </w:rPr>
        <w:t>招标人有权</w:t>
      </w:r>
      <w:r>
        <w:rPr>
          <w:rFonts w:hint="eastAsia"/>
          <w:color w:val="auto"/>
          <w:sz w:val="21"/>
          <w:szCs w:val="21"/>
          <w:lang w:val="fr-FR"/>
        </w:rPr>
        <w:t>根据</w:t>
      </w:r>
      <w:r>
        <w:rPr>
          <w:rFonts w:hint="eastAsia"/>
          <w:color w:val="auto"/>
          <w:sz w:val="21"/>
          <w:szCs w:val="21"/>
        </w:rPr>
        <w:t>工程实施分组及工程进展情况等要求投标人调整网络优化资源配备（包括人员、测试仪器仪表、汽车交通工具等）。</w:t>
      </w:r>
    </w:p>
    <w:p w14:paraId="22C469C4">
      <w:pPr>
        <w:pStyle w:val="12"/>
        <w:rPr>
          <w:rFonts w:hint="eastAsia"/>
          <w:color w:val="auto"/>
          <w:kern w:val="2"/>
          <w:sz w:val="21"/>
          <w:szCs w:val="21"/>
        </w:rPr>
      </w:pPr>
      <w:bookmarkStart w:id="251" w:name="_Toc18344"/>
      <w:r>
        <w:rPr>
          <w:rFonts w:hint="eastAsia"/>
          <w:color w:val="auto"/>
          <w:kern w:val="2"/>
          <w:sz w:val="21"/>
          <w:szCs w:val="21"/>
        </w:rPr>
        <w:t>5</w:t>
      </w:r>
      <w:r>
        <w:rPr>
          <w:color w:val="auto"/>
          <w:kern w:val="2"/>
          <w:sz w:val="21"/>
          <w:szCs w:val="21"/>
        </w:rPr>
        <w:t>.3</w:t>
      </w:r>
      <w:r>
        <w:rPr>
          <w:color w:val="auto"/>
          <w:sz w:val="21"/>
          <w:szCs w:val="21"/>
        </w:rPr>
        <w:t xml:space="preserve">  </w:t>
      </w:r>
      <w:r>
        <w:rPr>
          <w:color w:val="auto"/>
          <w:kern w:val="2"/>
          <w:sz w:val="21"/>
          <w:szCs w:val="21"/>
        </w:rPr>
        <w:t>工程设计联络</w:t>
      </w:r>
      <w:bookmarkEnd w:id="251"/>
    </w:p>
    <w:p w14:paraId="641A3A00">
      <w:pPr>
        <w:pStyle w:val="2"/>
        <w:spacing w:line="240" w:lineRule="auto"/>
        <w:ind w:firstLine="420"/>
        <w:rPr>
          <w:rFonts w:hint="eastAsia" w:hAnsi="宋体"/>
          <w:color w:val="auto"/>
          <w:kern w:val="2"/>
          <w:sz w:val="21"/>
        </w:rPr>
      </w:pPr>
      <w:r>
        <w:rPr>
          <w:rFonts w:hint="eastAsia" w:hAnsi="宋体"/>
          <w:color w:val="auto"/>
          <w:kern w:val="2"/>
          <w:sz w:val="21"/>
        </w:rPr>
        <w:t>5</w:t>
      </w:r>
      <w:r>
        <w:rPr>
          <w:rFonts w:hAnsi="宋体"/>
          <w:color w:val="auto"/>
          <w:kern w:val="2"/>
          <w:sz w:val="21"/>
        </w:rPr>
        <w:t>.3.1  为使合同顺利进行，在合同设备交货前或适当的时间召开有关设备安装、测试、系统设计等内容的工程设计联络会议。</w:t>
      </w:r>
    </w:p>
    <w:p w14:paraId="5D2FFBDF">
      <w:pPr>
        <w:pStyle w:val="2"/>
        <w:spacing w:line="240" w:lineRule="auto"/>
        <w:ind w:firstLine="420"/>
        <w:rPr>
          <w:color w:val="auto"/>
          <w:kern w:val="2"/>
          <w:sz w:val="21"/>
        </w:rPr>
      </w:pPr>
      <w:r>
        <w:rPr>
          <w:rFonts w:hint="eastAsia" w:ascii="Times New Roman" w:hAnsi="Times New Roman"/>
          <w:color w:val="auto"/>
          <w:kern w:val="2"/>
          <w:sz w:val="21"/>
        </w:rPr>
        <w:t>5</w:t>
      </w:r>
      <w:r>
        <w:rPr>
          <w:rFonts w:ascii="Times New Roman" w:hAnsi="Times New Roman"/>
          <w:color w:val="auto"/>
          <w:kern w:val="2"/>
          <w:sz w:val="21"/>
        </w:rPr>
        <w:t>.3.2  投标人应在投标文件中对工程设计联络的主要内容、人员、时间等提出建议，并就招标人人员所需费用列出各项目的单价及总价，</w:t>
      </w:r>
      <w:r>
        <w:rPr>
          <w:color w:val="auto"/>
          <w:kern w:val="2"/>
          <w:sz w:val="21"/>
        </w:rPr>
        <w:t>并计入投标总价。</w:t>
      </w:r>
    </w:p>
    <w:p w14:paraId="14DE8D1B">
      <w:pPr>
        <w:pStyle w:val="2"/>
        <w:spacing w:line="240" w:lineRule="auto"/>
        <w:ind w:firstLine="420"/>
        <w:rPr>
          <w:rFonts w:hint="eastAsia" w:hAnsi="宋体"/>
          <w:color w:val="auto"/>
          <w:kern w:val="2"/>
          <w:sz w:val="21"/>
        </w:rPr>
      </w:pPr>
      <w:r>
        <w:rPr>
          <w:rFonts w:hint="eastAsia" w:hAnsi="宋体"/>
          <w:color w:val="auto"/>
          <w:kern w:val="2"/>
          <w:sz w:val="21"/>
        </w:rPr>
        <w:t>5</w:t>
      </w:r>
      <w:r>
        <w:rPr>
          <w:rFonts w:hAnsi="宋体"/>
          <w:color w:val="auto"/>
          <w:kern w:val="2"/>
          <w:sz w:val="21"/>
        </w:rPr>
        <w:t>.3.3  工程技术联络的人员数量见“服务需求一览表”。投标人可按该表提出培训时间、地点方面的具体建议，并在合同签订时商定。</w:t>
      </w:r>
    </w:p>
    <w:p w14:paraId="38D7F849">
      <w:pPr>
        <w:pStyle w:val="12"/>
        <w:rPr>
          <w:rFonts w:hint="eastAsia"/>
          <w:color w:val="auto"/>
          <w:kern w:val="2"/>
          <w:sz w:val="21"/>
          <w:szCs w:val="21"/>
        </w:rPr>
      </w:pPr>
      <w:bookmarkStart w:id="252" w:name="_Toc10739"/>
      <w:r>
        <w:rPr>
          <w:rFonts w:hint="eastAsia"/>
          <w:color w:val="auto"/>
          <w:kern w:val="2"/>
          <w:sz w:val="21"/>
          <w:szCs w:val="21"/>
        </w:rPr>
        <w:t>5</w:t>
      </w:r>
      <w:r>
        <w:rPr>
          <w:color w:val="auto"/>
          <w:kern w:val="2"/>
          <w:sz w:val="21"/>
          <w:szCs w:val="21"/>
        </w:rPr>
        <w:t>.4</w:t>
      </w:r>
      <w:r>
        <w:rPr>
          <w:color w:val="auto"/>
          <w:sz w:val="21"/>
          <w:szCs w:val="21"/>
        </w:rPr>
        <w:t xml:space="preserve">  </w:t>
      </w:r>
      <w:r>
        <w:rPr>
          <w:color w:val="auto"/>
          <w:kern w:val="2"/>
          <w:sz w:val="21"/>
          <w:szCs w:val="21"/>
        </w:rPr>
        <w:t>技术培训</w:t>
      </w:r>
      <w:bookmarkEnd w:id="252"/>
    </w:p>
    <w:p w14:paraId="505CDA31">
      <w:pPr>
        <w:pStyle w:val="2"/>
        <w:spacing w:line="240" w:lineRule="auto"/>
        <w:ind w:firstLine="420"/>
        <w:rPr>
          <w:rFonts w:hint="eastAsia" w:hAnsi="宋体"/>
          <w:color w:val="auto"/>
          <w:kern w:val="2"/>
          <w:sz w:val="21"/>
        </w:rPr>
      </w:pPr>
      <w:r>
        <w:rPr>
          <w:rFonts w:hint="eastAsia" w:hAnsi="宋体"/>
          <w:color w:val="auto"/>
          <w:kern w:val="2"/>
          <w:sz w:val="21"/>
        </w:rPr>
        <w:t>5</w:t>
      </w:r>
      <w:r>
        <w:rPr>
          <w:rFonts w:hAnsi="宋体"/>
          <w:color w:val="auto"/>
          <w:kern w:val="2"/>
          <w:sz w:val="21"/>
        </w:rPr>
        <w:t>.4.1  投标人应提供良好的技术培训条件（包括现场培训和工厂培训），使招标人人员完全掌握该设备的技术，包括工程设计、施工及日常维护等。</w:t>
      </w:r>
    </w:p>
    <w:p w14:paraId="152B6331">
      <w:pPr>
        <w:pStyle w:val="11"/>
        <w:ind w:firstLine="420"/>
        <w:rPr>
          <w:rFonts w:hint="eastAsia"/>
          <w:color w:val="auto"/>
          <w:sz w:val="21"/>
          <w:szCs w:val="21"/>
        </w:rPr>
      </w:pPr>
      <w:r>
        <w:rPr>
          <w:rFonts w:hint="eastAsia"/>
          <w:color w:val="auto"/>
          <w:sz w:val="21"/>
          <w:szCs w:val="21"/>
        </w:rPr>
        <w:t>5</w:t>
      </w:r>
      <w:r>
        <w:rPr>
          <w:color w:val="auto"/>
          <w:sz w:val="21"/>
          <w:szCs w:val="21"/>
        </w:rPr>
        <w:t>.4.2  培训教师、教材及器材</w:t>
      </w:r>
    </w:p>
    <w:p w14:paraId="3C891D07">
      <w:pPr>
        <w:pStyle w:val="2"/>
        <w:spacing w:line="240" w:lineRule="auto"/>
        <w:ind w:firstLine="420"/>
        <w:rPr>
          <w:rFonts w:hint="eastAsia" w:hAnsi="宋体"/>
          <w:color w:val="auto"/>
          <w:kern w:val="2"/>
          <w:sz w:val="21"/>
        </w:rPr>
      </w:pPr>
      <w:r>
        <w:rPr>
          <w:rFonts w:hAnsi="宋体"/>
          <w:color w:val="auto"/>
          <w:kern w:val="2"/>
          <w:sz w:val="21"/>
        </w:rPr>
        <w:t>（1）投标人提供的培训教师应能用中文书写与讲解，熟悉本专业知识及具有相当的教学经验。</w:t>
      </w:r>
    </w:p>
    <w:p w14:paraId="732B614B">
      <w:pPr>
        <w:pStyle w:val="2"/>
        <w:spacing w:line="240" w:lineRule="auto"/>
        <w:ind w:firstLine="420"/>
        <w:rPr>
          <w:rFonts w:hint="eastAsia" w:hAnsi="宋体"/>
          <w:color w:val="auto"/>
          <w:kern w:val="2"/>
          <w:sz w:val="21"/>
        </w:rPr>
      </w:pPr>
      <w:r>
        <w:rPr>
          <w:rFonts w:hAnsi="宋体"/>
          <w:color w:val="auto"/>
          <w:kern w:val="2"/>
          <w:sz w:val="21"/>
        </w:rPr>
        <w:t>（2）投标人应提供培训的详细计划（中文），经招标人同意后，方可使用。</w:t>
      </w:r>
    </w:p>
    <w:p w14:paraId="62406C96">
      <w:pPr>
        <w:pStyle w:val="2"/>
        <w:spacing w:line="240" w:lineRule="auto"/>
        <w:ind w:firstLine="420"/>
        <w:rPr>
          <w:rFonts w:hint="eastAsia" w:hAnsi="宋体"/>
          <w:color w:val="auto"/>
          <w:kern w:val="2"/>
          <w:sz w:val="21"/>
        </w:rPr>
      </w:pPr>
      <w:r>
        <w:rPr>
          <w:rFonts w:hAnsi="宋体"/>
          <w:color w:val="auto"/>
          <w:kern w:val="2"/>
          <w:sz w:val="21"/>
        </w:rPr>
        <w:t>（3）培训教材应提供与所供应的设备一致的最新版本（中文），采用标准符号及词汇，并保证每个学员一套。</w:t>
      </w:r>
    </w:p>
    <w:p w14:paraId="5C929786">
      <w:pPr>
        <w:pStyle w:val="2"/>
        <w:spacing w:line="240" w:lineRule="auto"/>
        <w:ind w:firstLine="420"/>
        <w:rPr>
          <w:rFonts w:hint="eastAsia" w:hAnsi="宋体"/>
          <w:color w:val="auto"/>
          <w:kern w:val="2"/>
          <w:sz w:val="21"/>
        </w:rPr>
      </w:pPr>
      <w:r>
        <w:rPr>
          <w:rFonts w:hAnsi="宋体"/>
          <w:color w:val="auto"/>
          <w:kern w:val="2"/>
          <w:sz w:val="21"/>
        </w:rPr>
        <w:t>（4）投标人应提供培训人员实习所需的设备、工具、测试仪表及器材等。</w:t>
      </w:r>
    </w:p>
    <w:p w14:paraId="7ECBD222">
      <w:pPr>
        <w:pStyle w:val="2"/>
        <w:spacing w:line="240" w:lineRule="auto"/>
        <w:ind w:firstLine="420"/>
        <w:rPr>
          <w:rFonts w:ascii="Times New Roman" w:hAnsi="Times New Roman"/>
          <w:color w:val="auto"/>
          <w:kern w:val="2"/>
          <w:sz w:val="21"/>
        </w:rPr>
      </w:pPr>
      <w:r>
        <w:rPr>
          <w:rFonts w:ascii="Times New Roman" w:hAnsi="Times New Roman"/>
          <w:color w:val="auto"/>
          <w:kern w:val="2"/>
          <w:sz w:val="21"/>
        </w:rPr>
        <w:t>（5）技术服务与技术培训的人员数量见“服务需求一览表”。</w:t>
      </w:r>
      <w:r>
        <w:rPr>
          <w:color w:val="auto"/>
          <w:kern w:val="2"/>
          <w:sz w:val="21"/>
        </w:rPr>
        <w:t>培训费用单独报价，并计入投标总价。</w:t>
      </w:r>
      <w:r>
        <w:rPr>
          <w:rFonts w:ascii="Times New Roman" w:hAnsi="Times New Roman"/>
          <w:color w:val="auto"/>
          <w:kern w:val="2"/>
          <w:sz w:val="21"/>
        </w:rPr>
        <w:t>投标人可按该表提出培训时间、地点方面的具体建议，并在合同签订时商定。</w:t>
      </w:r>
    </w:p>
    <w:p w14:paraId="6C49561D">
      <w:pPr>
        <w:pStyle w:val="12"/>
        <w:rPr>
          <w:rFonts w:hint="eastAsia"/>
          <w:color w:val="auto"/>
          <w:kern w:val="2"/>
          <w:sz w:val="21"/>
          <w:szCs w:val="21"/>
        </w:rPr>
      </w:pPr>
      <w:bookmarkStart w:id="253" w:name="_Toc3218"/>
      <w:r>
        <w:rPr>
          <w:rFonts w:hint="eastAsia"/>
          <w:color w:val="auto"/>
          <w:kern w:val="2"/>
          <w:sz w:val="21"/>
          <w:szCs w:val="21"/>
        </w:rPr>
        <w:t>5</w:t>
      </w:r>
      <w:r>
        <w:rPr>
          <w:color w:val="auto"/>
          <w:kern w:val="2"/>
          <w:sz w:val="21"/>
          <w:szCs w:val="21"/>
        </w:rPr>
        <w:t>.5</w:t>
      </w:r>
      <w:r>
        <w:rPr>
          <w:color w:val="auto"/>
          <w:sz w:val="21"/>
          <w:szCs w:val="21"/>
        </w:rPr>
        <w:t xml:space="preserve">  </w:t>
      </w:r>
      <w:r>
        <w:rPr>
          <w:color w:val="auto"/>
          <w:kern w:val="2"/>
          <w:sz w:val="21"/>
          <w:szCs w:val="21"/>
        </w:rPr>
        <w:t>技术培训资料</w:t>
      </w:r>
      <w:bookmarkEnd w:id="253"/>
    </w:p>
    <w:p w14:paraId="547988CD">
      <w:pPr>
        <w:pStyle w:val="11"/>
        <w:ind w:firstLine="420"/>
        <w:rPr>
          <w:rFonts w:hint="eastAsia"/>
          <w:color w:val="auto"/>
          <w:sz w:val="21"/>
          <w:szCs w:val="21"/>
        </w:rPr>
      </w:pPr>
      <w:r>
        <w:rPr>
          <w:color w:val="auto"/>
          <w:sz w:val="21"/>
          <w:szCs w:val="21"/>
        </w:rPr>
        <w:t>投标人应提供的工程设计及运营维护管理所需的全套技术资料包括：</w:t>
      </w:r>
    </w:p>
    <w:p w14:paraId="5581FA76">
      <w:pPr>
        <w:pStyle w:val="11"/>
        <w:ind w:firstLine="420"/>
        <w:rPr>
          <w:rFonts w:hint="eastAsia"/>
          <w:color w:val="auto"/>
          <w:sz w:val="21"/>
          <w:szCs w:val="21"/>
        </w:rPr>
      </w:pPr>
      <w:r>
        <w:rPr>
          <w:rFonts w:hint="eastAsia"/>
          <w:color w:val="auto"/>
          <w:sz w:val="21"/>
          <w:szCs w:val="21"/>
        </w:rPr>
        <w:t>5</w:t>
      </w:r>
      <w:r>
        <w:rPr>
          <w:color w:val="auto"/>
          <w:sz w:val="21"/>
          <w:szCs w:val="21"/>
        </w:rPr>
        <w:t>.5.1  系统设备的组成、功能介绍、性能特性。</w:t>
      </w:r>
    </w:p>
    <w:p w14:paraId="76726079">
      <w:pPr>
        <w:pStyle w:val="2"/>
        <w:spacing w:line="240" w:lineRule="auto"/>
        <w:ind w:firstLine="420"/>
        <w:rPr>
          <w:rFonts w:hint="eastAsia" w:hAnsi="宋体"/>
          <w:color w:val="auto"/>
          <w:kern w:val="2"/>
          <w:sz w:val="21"/>
        </w:rPr>
      </w:pPr>
      <w:r>
        <w:rPr>
          <w:rFonts w:hint="eastAsia" w:hAnsi="宋体"/>
          <w:color w:val="auto"/>
          <w:kern w:val="2"/>
          <w:sz w:val="21"/>
        </w:rPr>
        <w:t>5</w:t>
      </w:r>
      <w:r>
        <w:rPr>
          <w:rFonts w:hAnsi="宋体"/>
          <w:color w:val="auto"/>
          <w:kern w:val="2"/>
          <w:sz w:val="21"/>
        </w:rPr>
        <w:t>.5.2  工程设计的技术资料和图纸（系统结构图、机架盘面布置图、所有接口板的配置、端口配线要求及设备、工具的一般资料。）</w:t>
      </w:r>
      <w:r>
        <w:rPr>
          <w:rFonts w:hAnsi="宋体"/>
          <w:color w:val="auto"/>
          <w:kern w:val="2"/>
          <w:sz w:val="21"/>
        </w:rPr>
        <w:cr/>
      </w:r>
      <w:r>
        <w:rPr>
          <w:rFonts w:hint="eastAsia" w:hAnsi="宋体"/>
          <w:color w:val="auto"/>
          <w:kern w:val="2"/>
          <w:sz w:val="21"/>
        </w:rPr>
        <w:t>5</w:t>
      </w:r>
      <w:r>
        <w:rPr>
          <w:rFonts w:hAnsi="宋体"/>
          <w:color w:val="auto"/>
          <w:kern w:val="2"/>
          <w:sz w:val="21"/>
        </w:rPr>
        <w:t>.5.3设备安装及维护手册</w:t>
      </w:r>
    </w:p>
    <w:p w14:paraId="1CEBF978">
      <w:pPr>
        <w:pStyle w:val="11"/>
        <w:ind w:firstLine="420"/>
        <w:rPr>
          <w:rFonts w:hint="eastAsia"/>
          <w:color w:val="auto"/>
          <w:sz w:val="21"/>
          <w:szCs w:val="21"/>
        </w:rPr>
      </w:pPr>
      <w:r>
        <w:rPr>
          <w:rFonts w:hint="eastAsia"/>
          <w:color w:val="auto"/>
          <w:sz w:val="21"/>
          <w:szCs w:val="21"/>
        </w:rPr>
        <w:t>5</w:t>
      </w:r>
      <w:r>
        <w:rPr>
          <w:color w:val="auto"/>
          <w:sz w:val="21"/>
          <w:szCs w:val="21"/>
        </w:rPr>
        <w:t>.5.4  工厂测试及现场测试方法、步骤及测试表格。</w:t>
      </w:r>
    </w:p>
    <w:p w14:paraId="23CE3FA5">
      <w:pPr>
        <w:pStyle w:val="11"/>
        <w:ind w:firstLine="420"/>
        <w:rPr>
          <w:rFonts w:hint="eastAsia"/>
          <w:color w:val="auto"/>
          <w:sz w:val="21"/>
          <w:szCs w:val="21"/>
        </w:rPr>
      </w:pPr>
      <w:r>
        <w:rPr>
          <w:rFonts w:hint="eastAsia"/>
          <w:color w:val="auto"/>
          <w:sz w:val="21"/>
          <w:szCs w:val="21"/>
        </w:rPr>
        <w:t>5</w:t>
      </w:r>
      <w:r>
        <w:rPr>
          <w:color w:val="auto"/>
          <w:sz w:val="21"/>
          <w:szCs w:val="21"/>
        </w:rPr>
        <w:t>.5.5  监控接口及通信协议。</w:t>
      </w:r>
    </w:p>
    <w:p w14:paraId="3A6C689F">
      <w:pPr>
        <w:pStyle w:val="8"/>
        <w:rPr>
          <w:rFonts w:hint="eastAsia"/>
          <w:color w:val="auto"/>
          <w:kern w:val="2"/>
          <w:sz w:val="21"/>
          <w:szCs w:val="21"/>
        </w:rPr>
      </w:pPr>
      <w:bookmarkStart w:id="254" w:name="_Toc472223165"/>
      <w:bookmarkStart w:id="255" w:name="_Toc161460696"/>
      <w:bookmarkStart w:id="256" w:name="_Toc406327263"/>
      <w:bookmarkStart w:id="257" w:name="_Toc31203"/>
      <w:bookmarkStart w:id="258" w:name="_Toc406330036"/>
      <w:r>
        <w:rPr>
          <w:rFonts w:hint="eastAsia"/>
          <w:color w:val="auto"/>
          <w:kern w:val="2"/>
          <w:sz w:val="21"/>
          <w:szCs w:val="21"/>
        </w:rPr>
        <w:t>6.备品备件</w:t>
      </w:r>
      <w:bookmarkEnd w:id="254"/>
      <w:bookmarkEnd w:id="255"/>
      <w:r>
        <w:rPr>
          <w:rFonts w:hint="eastAsia"/>
          <w:color w:val="auto"/>
          <w:kern w:val="2"/>
          <w:sz w:val="21"/>
          <w:szCs w:val="21"/>
        </w:rPr>
        <w:t>及专用工具</w:t>
      </w:r>
      <w:bookmarkEnd w:id="256"/>
      <w:bookmarkEnd w:id="257"/>
      <w:bookmarkEnd w:id="258"/>
    </w:p>
    <w:p w14:paraId="6BF660C5">
      <w:pPr>
        <w:pStyle w:val="11"/>
        <w:ind w:firstLine="420"/>
        <w:rPr>
          <w:rFonts w:hint="eastAsia"/>
          <w:color w:val="auto"/>
          <w:sz w:val="21"/>
          <w:szCs w:val="21"/>
        </w:rPr>
      </w:pPr>
      <w:r>
        <w:rPr>
          <w:rFonts w:hint="eastAsia"/>
          <w:color w:val="auto"/>
          <w:sz w:val="21"/>
          <w:szCs w:val="21"/>
        </w:rPr>
        <w:t>6</w:t>
      </w:r>
      <w:r>
        <w:rPr>
          <w:color w:val="auto"/>
          <w:sz w:val="21"/>
          <w:szCs w:val="21"/>
        </w:rPr>
        <w:t>.1 投标人按招标人要求提供系统维护所需的备件详细清单。</w:t>
      </w:r>
    </w:p>
    <w:p w14:paraId="65EB4A91">
      <w:pPr>
        <w:pStyle w:val="11"/>
        <w:ind w:firstLine="420"/>
        <w:rPr>
          <w:rFonts w:hint="eastAsia"/>
          <w:color w:val="auto"/>
          <w:kern w:val="32"/>
          <w:sz w:val="21"/>
          <w:szCs w:val="21"/>
        </w:rPr>
      </w:pPr>
      <w:r>
        <w:rPr>
          <w:rFonts w:hint="eastAsia"/>
          <w:color w:val="auto"/>
          <w:sz w:val="21"/>
          <w:szCs w:val="21"/>
        </w:rPr>
        <w:t>6.2</w:t>
      </w:r>
      <w:r>
        <w:rPr>
          <w:rFonts w:hint="eastAsia"/>
          <w:color w:val="auto"/>
          <w:kern w:val="32"/>
          <w:sz w:val="21"/>
          <w:szCs w:val="21"/>
        </w:rPr>
        <w:t>备品备件包括质量保证期内（为最终系统验收合格开通日算起（试验运行不计入质量保证期）二十四个月）所需备品、备件，质量保证期内所需备品备件必须保证缺陷责任期内系统正常运用维护的需要，由投标方负责无偿提供）。</w:t>
      </w:r>
    </w:p>
    <w:p w14:paraId="0E989730">
      <w:pPr>
        <w:ind w:firstLine="420" w:firstLineChars="200"/>
        <w:rPr>
          <w:color w:val="auto"/>
          <w:kern w:val="32"/>
          <w:sz w:val="21"/>
          <w:szCs w:val="21"/>
        </w:rPr>
      </w:pPr>
      <w:r>
        <w:rPr>
          <w:rFonts w:hint="eastAsia"/>
          <w:color w:val="auto"/>
          <w:kern w:val="32"/>
          <w:sz w:val="21"/>
          <w:szCs w:val="21"/>
        </w:rPr>
        <w:t>验收前招标方有权根据通信维护规则等相关文件要求核对备品备件清单，清单所列项目不满足要求时，投标方应根据招标方审定的清单补齐并免费提供补充的备品备件。</w:t>
      </w:r>
    </w:p>
    <w:p w14:paraId="0EECBF3E">
      <w:pPr>
        <w:pStyle w:val="13"/>
        <w:wordWrap/>
        <w:spacing w:after="0" w:afterLines="0" w:line="240" w:lineRule="auto"/>
        <w:ind w:firstLine="420" w:firstLineChars="200"/>
        <w:rPr>
          <w:rFonts w:hint="eastAsia"/>
          <w:color w:val="auto"/>
          <w:sz w:val="21"/>
          <w:szCs w:val="21"/>
        </w:rPr>
      </w:pPr>
      <w:r>
        <w:rPr>
          <w:rFonts w:hint="eastAsia"/>
          <w:color w:val="auto"/>
          <w:sz w:val="21"/>
          <w:szCs w:val="21"/>
        </w:rPr>
        <w:t>6</w:t>
      </w:r>
      <w:r>
        <w:rPr>
          <w:color w:val="auto"/>
          <w:sz w:val="21"/>
          <w:szCs w:val="21"/>
        </w:rPr>
        <w:t>.3</w:t>
      </w:r>
      <w:bookmarkStart w:id="259" w:name="_Toc472223166"/>
      <w:r>
        <w:rPr>
          <w:color w:val="auto"/>
          <w:sz w:val="21"/>
          <w:szCs w:val="21"/>
        </w:rPr>
        <w:t xml:space="preserve">  </w:t>
      </w:r>
      <w:r>
        <w:rPr>
          <w:rFonts w:hint="eastAsia"/>
          <w:color w:val="auto"/>
          <w:kern w:val="32"/>
          <w:sz w:val="21"/>
          <w:szCs w:val="21"/>
        </w:rPr>
        <w:t>投标方应详细列出必需的专用维护工具仪器名称、型号、规格、数量、单价和总价。如果投标方认为不需要专用维护工具仪器时，应予以详细说明。投标方应保证在交货时一同提供安装和维护所用的专用工具和材料</w:t>
      </w:r>
      <w:r>
        <w:rPr>
          <w:rFonts w:hint="eastAsia" w:cs="宋体"/>
          <w:color w:val="auto"/>
          <w:kern w:val="32"/>
          <w:sz w:val="21"/>
          <w:szCs w:val="21"/>
        </w:rPr>
        <w:t>。</w:t>
      </w:r>
    </w:p>
    <w:bookmarkEnd w:id="259"/>
    <w:p w14:paraId="2B7166D8">
      <w:pPr>
        <w:pStyle w:val="8"/>
        <w:rPr>
          <w:rFonts w:hint="eastAsia"/>
          <w:color w:val="auto"/>
          <w:kern w:val="2"/>
          <w:sz w:val="21"/>
          <w:szCs w:val="21"/>
        </w:rPr>
      </w:pPr>
      <w:bookmarkStart w:id="260" w:name="_Toc435525057"/>
      <w:bookmarkEnd w:id="260"/>
      <w:bookmarkStart w:id="261" w:name="_Toc436830307"/>
      <w:bookmarkEnd w:id="261"/>
      <w:bookmarkStart w:id="262" w:name="_Toc436830309"/>
      <w:bookmarkEnd w:id="262"/>
      <w:bookmarkStart w:id="263" w:name="_Toc435525058"/>
      <w:bookmarkEnd w:id="263"/>
      <w:bookmarkStart w:id="264" w:name="_Toc435523852"/>
      <w:bookmarkEnd w:id="264"/>
      <w:bookmarkStart w:id="265" w:name="_Toc435524059"/>
      <w:bookmarkEnd w:id="265"/>
      <w:bookmarkStart w:id="266" w:name="_Toc435525059"/>
      <w:bookmarkEnd w:id="266"/>
      <w:bookmarkStart w:id="267" w:name="_Toc436830313"/>
      <w:bookmarkEnd w:id="267"/>
      <w:bookmarkStart w:id="268" w:name="_Toc435525055"/>
      <w:bookmarkEnd w:id="268"/>
      <w:bookmarkStart w:id="269" w:name="_Toc436830308"/>
      <w:bookmarkEnd w:id="269"/>
      <w:bookmarkStart w:id="270" w:name="_Toc436830312"/>
      <w:bookmarkEnd w:id="270"/>
      <w:bookmarkStart w:id="271" w:name="_Toc435525053"/>
      <w:bookmarkEnd w:id="271"/>
      <w:bookmarkStart w:id="272" w:name="_Toc435524063"/>
      <w:bookmarkEnd w:id="272"/>
      <w:bookmarkStart w:id="273" w:name="_Toc435524060"/>
      <w:bookmarkEnd w:id="273"/>
      <w:bookmarkStart w:id="274" w:name="_Toc435524064"/>
      <w:bookmarkEnd w:id="274"/>
      <w:bookmarkStart w:id="275" w:name="_Toc435524061"/>
      <w:bookmarkEnd w:id="275"/>
      <w:bookmarkStart w:id="276" w:name="_Toc435523847"/>
      <w:bookmarkEnd w:id="276"/>
      <w:bookmarkStart w:id="277" w:name="_Toc435523850"/>
      <w:bookmarkEnd w:id="277"/>
      <w:bookmarkStart w:id="278" w:name="_Toc435523848"/>
      <w:bookmarkEnd w:id="278"/>
      <w:bookmarkStart w:id="279" w:name="_Toc435524062"/>
      <w:bookmarkEnd w:id="279"/>
      <w:bookmarkStart w:id="280" w:name="_Toc436830311"/>
      <w:bookmarkEnd w:id="280"/>
      <w:bookmarkStart w:id="281" w:name="_Toc435523851"/>
      <w:bookmarkEnd w:id="281"/>
      <w:bookmarkStart w:id="282" w:name="_Toc435525056"/>
      <w:bookmarkEnd w:id="282"/>
      <w:bookmarkStart w:id="283" w:name="_Toc435524065"/>
      <w:bookmarkEnd w:id="283"/>
      <w:bookmarkStart w:id="284" w:name="_Toc435524058"/>
      <w:bookmarkEnd w:id="284"/>
      <w:bookmarkStart w:id="285" w:name="_Toc435523853"/>
      <w:bookmarkEnd w:id="285"/>
      <w:bookmarkStart w:id="286" w:name="_Toc436830310"/>
      <w:bookmarkEnd w:id="286"/>
      <w:bookmarkStart w:id="287" w:name="_Toc435523846"/>
      <w:bookmarkEnd w:id="287"/>
      <w:bookmarkStart w:id="288" w:name="_Toc435525054"/>
      <w:bookmarkEnd w:id="288"/>
      <w:bookmarkStart w:id="289" w:name="_Toc435523849"/>
      <w:bookmarkEnd w:id="289"/>
      <w:bookmarkStart w:id="290" w:name="_Toc435525052"/>
      <w:bookmarkEnd w:id="290"/>
      <w:bookmarkStart w:id="291" w:name="_Toc436830306"/>
      <w:bookmarkEnd w:id="291"/>
      <w:bookmarkStart w:id="292" w:name="_Toc406327265"/>
      <w:bookmarkStart w:id="293" w:name="_Toc406330038"/>
      <w:bookmarkStart w:id="294" w:name="_Toc7511"/>
      <w:bookmarkStart w:id="295" w:name="_Toc161460698"/>
      <w:bookmarkStart w:id="296" w:name="_Toc472223167"/>
      <w:r>
        <w:rPr>
          <w:rFonts w:hint="eastAsia"/>
          <w:color w:val="auto"/>
          <w:kern w:val="2"/>
          <w:sz w:val="21"/>
          <w:szCs w:val="21"/>
        </w:rPr>
        <w:t>7.包装</w:t>
      </w:r>
      <w:bookmarkEnd w:id="292"/>
      <w:bookmarkEnd w:id="293"/>
      <w:bookmarkEnd w:id="294"/>
      <w:bookmarkEnd w:id="295"/>
      <w:bookmarkEnd w:id="296"/>
    </w:p>
    <w:p w14:paraId="38834496">
      <w:pPr>
        <w:pStyle w:val="2"/>
        <w:spacing w:line="240" w:lineRule="auto"/>
        <w:ind w:firstLine="420"/>
        <w:rPr>
          <w:rFonts w:hint="eastAsia" w:hAnsi="宋体"/>
          <w:color w:val="auto"/>
          <w:kern w:val="2"/>
          <w:sz w:val="21"/>
        </w:rPr>
      </w:pPr>
      <w:r>
        <w:rPr>
          <w:rFonts w:hint="eastAsia" w:hAnsi="宋体"/>
          <w:color w:val="auto"/>
          <w:kern w:val="2"/>
          <w:sz w:val="21"/>
        </w:rPr>
        <w:t>7</w:t>
      </w:r>
      <w:r>
        <w:rPr>
          <w:rFonts w:hAnsi="宋体"/>
          <w:color w:val="auto"/>
          <w:kern w:val="2"/>
          <w:sz w:val="21"/>
        </w:rPr>
        <w:t>.1  投标人须对设备进行结实的包装，并采取措施防潮、防尘、防蚀、防碰，以便经受大批货物的运输和装卸，保证货物安全到达现场且没有任何损坏。</w:t>
      </w:r>
    </w:p>
    <w:p w14:paraId="1EEAF959">
      <w:pPr>
        <w:pStyle w:val="11"/>
        <w:ind w:firstLine="420"/>
        <w:rPr>
          <w:rFonts w:hint="eastAsia"/>
          <w:color w:val="auto"/>
          <w:sz w:val="21"/>
          <w:szCs w:val="21"/>
        </w:rPr>
      </w:pPr>
      <w:r>
        <w:rPr>
          <w:rFonts w:hint="eastAsia"/>
          <w:color w:val="auto"/>
          <w:sz w:val="21"/>
          <w:szCs w:val="21"/>
        </w:rPr>
        <w:t>7</w:t>
      </w:r>
      <w:r>
        <w:rPr>
          <w:color w:val="auto"/>
          <w:sz w:val="21"/>
          <w:szCs w:val="21"/>
        </w:rPr>
        <w:t>.2  设备按站包装</w:t>
      </w:r>
      <w:bookmarkStart w:id="297" w:name="_Toc472223168"/>
      <w:r>
        <w:rPr>
          <w:color w:val="auto"/>
          <w:sz w:val="21"/>
          <w:szCs w:val="21"/>
        </w:rPr>
        <w:t>。</w:t>
      </w:r>
      <w:bookmarkEnd w:id="297"/>
      <w:bookmarkStart w:id="298" w:name="_Toc406330039"/>
      <w:bookmarkStart w:id="299" w:name="_Toc406327266"/>
    </w:p>
    <w:p w14:paraId="376C906B">
      <w:pPr>
        <w:pStyle w:val="8"/>
        <w:rPr>
          <w:rFonts w:hint="eastAsia"/>
          <w:color w:val="auto"/>
          <w:kern w:val="2"/>
          <w:sz w:val="21"/>
          <w:szCs w:val="21"/>
        </w:rPr>
      </w:pPr>
      <w:bookmarkStart w:id="300" w:name="_Toc12280"/>
      <w:r>
        <w:rPr>
          <w:rFonts w:hint="eastAsia"/>
          <w:color w:val="auto"/>
          <w:kern w:val="2"/>
          <w:sz w:val="21"/>
          <w:szCs w:val="21"/>
        </w:rPr>
        <w:t>8.其他</w:t>
      </w:r>
      <w:bookmarkEnd w:id="298"/>
      <w:bookmarkEnd w:id="299"/>
      <w:bookmarkEnd w:id="300"/>
    </w:p>
    <w:p w14:paraId="3A9E4651">
      <w:pPr>
        <w:pStyle w:val="2"/>
        <w:spacing w:line="240" w:lineRule="auto"/>
        <w:ind w:firstLine="420"/>
        <w:rPr>
          <w:rFonts w:hint="eastAsia" w:hAnsi="宋体"/>
          <w:color w:val="auto"/>
          <w:kern w:val="2"/>
          <w:sz w:val="21"/>
        </w:rPr>
      </w:pPr>
      <w:r>
        <w:rPr>
          <w:rFonts w:hint="eastAsia" w:ascii="微软雅黑" w:hAnsi="微软雅黑" w:eastAsia="微软雅黑" w:cs="微软雅黑"/>
          <w:color w:val="auto"/>
          <w:kern w:val="2"/>
          <w:sz w:val="21"/>
        </w:rPr>
        <w:t>本技术规范书中所述有关商务条款如与招标书中的商务条款有矛盾时，以招标书中的商务条款为准。</w:t>
      </w:r>
      <w:bookmarkEnd w:id="188"/>
      <w:bookmarkStart w:id="301" w:name="_Toc406327267"/>
      <w:bookmarkStart w:id="302" w:name="_Toc406330040"/>
    </w:p>
    <w:p w14:paraId="64FC64D2">
      <w:pPr>
        <w:pStyle w:val="7"/>
        <w:spacing w:before="191" w:after="191"/>
        <w:rPr>
          <w:rFonts w:hint="eastAsia"/>
          <w:color w:val="auto"/>
          <w:sz w:val="21"/>
          <w:szCs w:val="21"/>
        </w:rPr>
      </w:pPr>
      <w:bookmarkStart w:id="303" w:name="_Toc906"/>
      <w:r>
        <w:rPr>
          <w:rFonts w:hint="eastAsia"/>
          <w:color w:val="auto"/>
          <w:sz w:val="21"/>
          <w:szCs w:val="21"/>
        </w:rPr>
        <w:t>第三篇  技术规格共同条款</w:t>
      </w:r>
      <w:bookmarkEnd w:id="301"/>
      <w:bookmarkEnd w:id="302"/>
      <w:bookmarkEnd w:id="303"/>
    </w:p>
    <w:p w14:paraId="41B4AC7F">
      <w:pPr>
        <w:pStyle w:val="8"/>
        <w:rPr>
          <w:rFonts w:hint="eastAsia"/>
          <w:color w:val="auto"/>
          <w:kern w:val="2"/>
          <w:sz w:val="21"/>
          <w:szCs w:val="21"/>
        </w:rPr>
      </w:pPr>
      <w:bookmarkStart w:id="304" w:name="_Toc7970"/>
      <w:bookmarkStart w:id="305" w:name="_Toc406327268"/>
      <w:bookmarkStart w:id="306" w:name="_Toc406330041"/>
      <w:bookmarkStart w:id="307" w:name="_Toc303956968"/>
      <w:r>
        <w:rPr>
          <w:rFonts w:hint="eastAsia"/>
          <w:color w:val="auto"/>
          <w:kern w:val="2"/>
          <w:sz w:val="21"/>
          <w:szCs w:val="21"/>
        </w:rPr>
        <w:t>1.铁路工程总体概况</w:t>
      </w:r>
      <w:bookmarkEnd w:id="304"/>
      <w:bookmarkEnd w:id="305"/>
      <w:bookmarkEnd w:id="306"/>
      <w:bookmarkEnd w:id="307"/>
    </w:p>
    <w:p w14:paraId="4B4A66AB">
      <w:pPr>
        <w:pStyle w:val="3"/>
        <w:widowControl w:val="0"/>
        <w:spacing w:before="0" w:beforeAutospacing="0" w:after="120" w:afterAutospacing="0"/>
        <w:ind w:firstLine="422" w:firstLineChars="200"/>
        <w:jc w:val="both"/>
        <w:outlineLvl w:val="2"/>
        <w:rPr>
          <w:rFonts w:hint="eastAsia"/>
          <w:color w:val="auto"/>
          <w:sz w:val="21"/>
          <w:szCs w:val="21"/>
        </w:rPr>
      </w:pPr>
      <w:bookmarkStart w:id="308" w:name="_Toc2457"/>
      <w:bookmarkStart w:id="309" w:name="_Toc8034"/>
      <w:bookmarkStart w:id="310" w:name="_Toc7524"/>
      <w:bookmarkStart w:id="311" w:name="_Toc406330042"/>
      <w:bookmarkStart w:id="312" w:name="_Toc406327269"/>
      <w:bookmarkStart w:id="313" w:name="_Toc303956973"/>
      <w:r>
        <w:rPr>
          <w:rFonts w:hint="eastAsia"/>
          <w:b/>
          <w:color w:val="auto"/>
          <w:kern w:val="44"/>
          <w:sz w:val="21"/>
          <w:szCs w:val="21"/>
          <w:lang w:bidi="ar"/>
        </w:rPr>
        <w:t>1.1  工程概况</w:t>
      </w:r>
      <w:bookmarkEnd w:id="308"/>
      <w:bookmarkEnd w:id="309"/>
      <w:bookmarkEnd w:id="310"/>
    </w:p>
    <w:p w14:paraId="0051827F">
      <w:pPr>
        <w:pStyle w:val="14"/>
        <w:ind w:firstLine="560"/>
        <w:rPr>
          <w:rFonts w:hint="eastAsia" w:cs="宋体"/>
          <w:b w:val="0"/>
          <w:snapToGrid/>
          <w:color w:val="auto"/>
          <w:sz w:val="21"/>
          <w:szCs w:val="21"/>
          <w:lang w:val="en-US" w:eastAsia="zh-CN" w:bidi="ar"/>
        </w:rPr>
      </w:pPr>
      <w:r>
        <w:rPr>
          <w:rFonts w:hint="eastAsia" w:cs="宋体"/>
          <w:b w:val="0"/>
          <w:snapToGrid/>
          <w:color w:val="auto"/>
          <w:sz w:val="21"/>
          <w:szCs w:val="21"/>
          <w:lang w:val="en-US" w:eastAsia="zh-CN" w:bidi="ar"/>
        </w:rPr>
        <w:t>本项目位于湖北省宜昌市境内，途径点军区、夷陵区、秭归县。线路自宜昌南站西端引出，经秭归县城南侧，于兰陵溪附近引入茅坪港。</w:t>
      </w:r>
    </w:p>
    <w:p w14:paraId="5207E37B">
      <w:pPr>
        <w:pStyle w:val="14"/>
        <w:ind w:firstLine="560"/>
        <w:rPr>
          <w:rFonts w:hint="eastAsia" w:cs="宋体"/>
          <w:b w:val="0"/>
          <w:snapToGrid/>
          <w:color w:val="auto"/>
          <w:sz w:val="21"/>
          <w:szCs w:val="21"/>
          <w:lang w:val="en-US" w:eastAsia="zh-CN" w:bidi="ar"/>
        </w:rPr>
      </w:pPr>
      <w:r>
        <w:rPr>
          <w:rFonts w:hint="eastAsia" w:cs="宋体"/>
          <w:b w:val="0"/>
          <w:snapToGrid/>
          <w:color w:val="auto"/>
          <w:sz w:val="21"/>
          <w:szCs w:val="21"/>
          <w:lang w:val="en-US" w:eastAsia="zh-CN" w:bidi="ar"/>
        </w:rPr>
        <w:t>新建地方铁路三峡枢纽茅坪港疏港铁路项目是构筑三峡物流中心水铁联运系统的重要基础设施，也是延伸国家铁路网覆盖范围以及提升全路货运效益的重要线路，是完善长江三峡综合交通运输体系的重要组成部分，是支撑三峡翻坝物流产业园发展的配套交通设施。</w:t>
      </w:r>
    </w:p>
    <w:p w14:paraId="13AEB902">
      <w:pPr>
        <w:pStyle w:val="14"/>
        <w:ind w:firstLine="560"/>
        <w:rPr>
          <w:rFonts w:hint="eastAsia" w:cs="宋体"/>
          <w:b w:val="0"/>
          <w:snapToGrid/>
          <w:color w:val="auto"/>
          <w:sz w:val="21"/>
          <w:szCs w:val="21"/>
          <w:lang w:val="en-US" w:eastAsia="zh-CN" w:bidi="ar"/>
        </w:rPr>
      </w:pPr>
      <w:r>
        <w:rPr>
          <w:rFonts w:hint="eastAsia" w:cs="宋体"/>
          <w:b w:val="0"/>
          <w:snapToGrid/>
          <w:color w:val="auto"/>
          <w:sz w:val="21"/>
          <w:szCs w:val="21"/>
          <w:lang w:val="en-US" w:eastAsia="zh-CN" w:bidi="ar"/>
        </w:rPr>
        <w:t>线路自宜万铁路宜昌南站西端引出，向西跨S323省道、虎周公路、点军大道，下穿宜万铁路，继续沿翻坝铁路北侧西行，在叶家附近跨至翻坝铁路南侧，下穿杨木岭，途经宜昌市点军区、夷陵区、秭归县，于兰陵溪东侧引入茅坪港区。线路全长39.592km，其中桥梁25座/8.956km，占全线长度22.62%，隧道13座26.384km，占全线长度66.64%，桥隧占线路总长89.26%。全线共设宜昌南（接轨站）、十里坪（会让站）、秭归站（预留会让站）、茅坪港站（港前站）等4座车站，平均站间距13.105km，其中最大站间距15.545km（十里坪至秭归），最小站间距9.75km（秭归至茅坪港）。</w:t>
      </w:r>
    </w:p>
    <w:p w14:paraId="30FC42FE">
      <w:pPr>
        <w:pStyle w:val="14"/>
        <w:ind w:firstLine="560"/>
        <w:rPr>
          <w:rFonts w:hint="eastAsia" w:cs="宋体"/>
          <w:b w:val="0"/>
          <w:snapToGrid/>
          <w:color w:val="auto"/>
          <w:sz w:val="21"/>
          <w:szCs w:val="21"/>
          <w:lang w:val="en-US" w:eastAsia="zh-CN" w:bidi="ar"/>
        </w:rPr>
      </w:pPr>
      <w:r>
        <w:rPr>
          <w:rFonts w:hint="eastAsia" w:cs="宋体"/>
          <w:b w:val="0"/>
          <w:snapToGrid/>
          <w:color w:val="auto"/>
          <w:sz w:val="21"/>
          <w:szCs w:val="21"/>
          <w:lang w:val="en-US" w:eastAsia="zh-CN" w:bidi="ar"/>
        </w:rPr>
        <w:t>工程主要技术标准</w:t>
      </w:r>
    </w:p>
    <w:p w14:paraId="58A2C5C4">
      <w:pPr>
        <w:pStyle w:val="14"/>
        <w:ind w:firstLine="560"/>
        <w:rPr>
          <w:rFonts w:hint="eastAsia" w:cs="宋体"/>
          <w:b w:val="0"/>
          <w:snapToGrid/>
          <w:color w:val="auto"/>
          <w:sz w:val="21"/>
          <w:szCs w:val="21"/>
          <w:lang w:val="en-US" w:eastAsia="zh-CN" w:bidi="ar"/>
        </w:rPr>
      </w:pPr>
      <w:r>
        <w:rPr>
          <w:rFonts w:hint="eastAsia" w:cs="宋体"/>
          <w:b w:val="0"/>
          <w:snapToGrid/>
          <w:color w:val="auto"/>
          <w:sz w:val="21"/>
          <w:szCs w:val="21"/>
          <w:lang w:val="en-US" w:eastAsia="zh-CN" w:bidi="ar"/>
        </w:rPr>
        <w:t>铁路等级：国铁Ⅲ级；</w:t>
      </w:r>
    </w:p>
    <w:p w14:paraId="7789D295">
      <w:pPr>
        <w:pStyle w:val="14"/>
        <w:ind w:firstLine="560"/>
        <w:rPr>
          <w:rFonts w:hint="eastAsia" w:cs="宋体"/>
          <w:b w:val="0"/>
          <w:snapToGrid/>
          <w:color w:val="auto"/>
          <w:sz w:val="21"/>
          <w:szCs w:val="21"/>
          <w:lang w:val="en-US" w:eastAsia="zh-CN" w:bidi="ar"/>
        </w:rPr>
      </w:pPr>
      <w:r>
        <w:rPr>
          <w:rFonts w:hint="eastAsia" w:cs="宋体"/>
          <w:b w:val="0"/>
          <w:snapToGrid/>
          <w:color w:val="auto"/>
          <w:sz w:val="21"/>
          <w:szCs w:val="21"/>
          <w:lang w:val="en-US" w:eastAsia="zh-CN" w:bidi="ar"/>
        </w:rPr>
        <w:t>正线数目：单线；</w:t>
      </w:r>
    </w:p>
    <w:p w14:paraId="7D608AEC">
      <w:pPr>
        <w:pStyle w:val="14"/>
        <w:ind w:firstLine="560"/>
        <w:rPr>
          <w:rFonts w:hint="eastAsia" w:cs="宋体"/>
          <w:b w:val="0"/>
          <w:snapToGrid/>
          <w:color w:val="auto"/>
          <w:sz w:val="21"/>
          <w:szCs w:val="21"/>
          <w:lang w:val="en-US" w:eastAsia="zh-CN" w:bidi="ar"/>
        </w:rPr>
      </w:pPr>
      <w:r>
        <w:rPr>
          <w:rFonts w:hint="eastAsia" w:cs="宋体"/>
          <w:b w:val="0"/>
          <w:snapToGrid/>
          <w:color w:val="auto"/>
          <w:sz w:val="21"/>
          <w:szCs w:val="21"/>
          <w:lang w:val="en-US" w:eastAsia="zh-CN" w:bidi="ar"/>
        </w:rPr>
        <w:t>限制坡度：13‰（双机）；</w:t>
      </w:r>
    </w:p>
    <w:p w14:paraId="7BBE760B">
      <w:pPr>
        <w:pStyle w:val="14"/>
        <w:ind w:firstLine="560"/>
        <w:rPr>
          <w:rFonts w:hint="eastAsia" w:cs="宋体"/>
          <w:b w:val="0"/>
          <w:snapToGrid/>
          <w:color w:val="auto"/>
          <w:sz w:val="21"/>
          <w:szCs w:val="21"/>
          <w:lang w:val="en-US" w:eastAsia="zh-CN" w:bidi="ar"/>
        </w:rPr>
      </w:pPr>
      <w:r>
        <w:rPr>
          <w:rFonts w:hint="eastAsia" w:cs="宋体"/>
          <w:b w:val="0"/>
          <w:snapToGrid/>
          <w:color w:val="auto"/>
          <w:sz w:val="21"/>
          <w:szCs w:val="21"/>
          <w:lang w:val="en-US" w:eastAsia="zh-CN" w:bidi="ar"/>
        </w:rPr>
        <w:t>最小曲线半径：一般地段600m，困难地段400m；</w:t>
      </w:r>
    </w:p>
    <w:p w14:paraId="54C37D01">
      <w:pPr>
        <w:pStyle w:val="14"/>
        <w:ind w:firstLine="560"/>
        <w:rPr>
          <w:rFonts w:hint="eastAsia" w:cs="宋体"/>
          <w:b w:val="0"/>
          <w:snapToGrid/>
          <w:color w:val="auto"/>
          <w:sz w:val="21"/>
          <w:szCs w:val="21"/>
          <w:lang w:val="en-US" w:eastAsia="zh-CN" w:bidi="ar"/>
        </w:rPr>
      </w:pPr>
      <w:r>
        <w:rPr>
          <w:rFonts w:hint="eastAsia" w:cs="宋体"/>
          <w:b w:val="0"/>
          <w:snapToGrid/>
          <w:color w:val="auto"/>
          <w:sz w:val="21"/>
          <w:szCs w:val="21"/>
          <w:lang w:val="en-US" w:eastAsia="zh-CN" w:bidi="ar"/>
        </w:rPr>
        <w:t>牵引种类：电力；</w:t>
      </w:r>
    </w:p>
    <w:p w14:paraId="6A9F76B0">
      <w:pPr>
        <w:pStyle w:val="14"/>
        <w:ind w:firstLine="560"/>
        <w:rPr>
          <w:rFonts w:hint="eastAsia" w:cs="宋体"/>
          <w:b w:val="0"/>
          <w:snapToGrid/>
          <w:color w:val="auto"/>
          <w:sz w:val="21"/>
          <w:szCs w:val="21"/>
          <w:lang w:val="en-US" w:eastAsia="zh-CN" w:bidi="ar"/>
        </w:rPr>
      </w:pPr>
      <w:r>
        <w:rPr>
          <w:rFonts w:hint="eastAsia" w:cs="宋体"/>
          <w:b w:val="0"/>
          <w:snapToGrid/>
          <w:color w:val="auto"/>
          <w:sz w:val="21"/>
          <w:szCs w:val="21"/>
          <w:lang w:val="en-US" w:eastAsia="zh-CN" w:bidi="ar"/>
        </w:rPr>
        <w:t>机车类型：HXD3；</w:t>
      </w:r>
    </w:p>
    <w:p w14:paraId="02992A4A">
      <w:pPr>
        <w:pStyle w:val="14"/>
        <w:ind w:firstLine="560"/>
        <w:rPr>
          <w:rFonts w:hint="eastAsia" w:cs="宋体"/>
          <w:b w:val="0"/>
          <w:snapToGrid/>
          <w:color w:val="auto"/>
          <w:sz w:val="21"/>
          <w:szCs w:val="21"/>
          <w:lang w:val="en-US" w:eastAsia="zh-CN" w:bidi="ar"/>
        </w:rPr>
      </w:pPr>
      <w:r>
        <w:rPr>
          <w:rFonts w:hint="eastAsia" w:cs="宋体"/>
          <w:b w:val="0"/>
          <w:snapToGrid/>
          <w:color w:val="auto"/>
          <w:sz w:val="21"/>
          <w:szCs w:val="21"/>
          <w:lang w:val="en-US" w:eastAsia="zh-CN" w:bidi="ar"/>
        </w:rPr>
        <w:t>闭塞类型：自动站间闭塞；</w:t>
      </w:r>
    </w:p>
    <w:p w14:paraId="48F7FF05">
      <w:pPr>
        <w:pStyle w:val="14"/>
        <w:ind w:firstLine="560"/>
        <w:rPr>
          <w:rFonts w:hint="eastAsia" w:cs="宋体"/>
          <w:b w:val="0"/>
          <w:snapToGrid/>
          <w:color w:val="auto"/>
          <w:sz w:val="21"/>
          <w:szCs w:val="21"/>
          <w:lang w:val="en-US" w:eastAsia="zh-CN" w:bidi="ar"/>
        </w:rPr>
      </w:pPr>
      <w:r>
        <w:rPr>
          <w:rFonts w:hint="eastAsia" w:cs="宋体"/>
          <w:b w:val="0"/>
          <w:snapToGrid/>
          <w:color w:val="auto"/>
          <w:sz w:val="21"/>
          <w:szCs w:val="21"/>
          <w:lang w:val="en-US" w:eastAsia="zh-CN" w:bidi="ar"/>
        </w:rPr>
        <w:t>到发线有效长度：880m；</w:t>
      </w:r>
    </w:p>
    <w:p w14:paraId="6CFF4E1D">
      <w:pPr>
        <w:pStyle w:val="14"/>
        <w:ind w:firstLine="560"/>
        <w:rPr>
          <w:rFonts w:hint="eastAsia" w:cs="宋体"/>
          <w:b w:val="0"/>
          <w:snapToGrid/>
          <w:color w:val="auto"/>
          <w:sz w:val="21"/>
          <w:szCs w:val="21"/>
          <w:lang w:val="en-US" w:eastAsia="zh-CN" w:bidi="ar"/>
        </w:rPr>
      </w:pPr>
      <w:r>
        <w:rPr>
          <w:rFonts w:hint="eastAsia" w:cs="宋体"/>
          <w:b w:val="0"/>
          <w:snapToGrid/>
          <w:color w:val="auto"/>
          <w:sz w:val="21"/>
          <w:szCs w:val="21"/>
          <w:lang w:val="en-US" w:eastAsia="zh-CN" w:bidi="ar"/>
        </w:rPr>
        <w:t>牵引质量：4000t；</w:t>
      </w:r>
    </w:p>
    <w:p w14:paraId="1964A393">
      <w:pPr>
        <w:pStyle w:val="14"/>
        <w:ind w:firstLine="560"/>
        <w:rPr>
          <w:rFonts w:hint="eastAsia" w:cs="宋体"/>
          <w:b w:val="0"/>
          <w:snapToGrid/>
          <w:color w:val="auto"/>
          <w:sz w:val="21"/>
          <w:szCs w:val="21"/>
          <w:lang w:val="en-US" w:eastAsia="zh-CN" w:bidi="ar"/>
        </w:rPr>
      </w:pPr>
      <w:r>
        <w:rPr>
          <w:rFonts w:hint="eastAsia" w:cs="宋体"/>
          <w:b w:val="0"/>
          <w:snapToGrid/>
          <w:color w:val="auto"/>
          <w:sz w:val="21"/>
          <w:szCs w:val="21"/>
          <w:lang w:val="en-US" w:eastAsia="zh-CN" w:bidi="ar"/>
        </w:rPr>
        <w:t>预留双层集装箱通道条件，预留客运设施。</w:t>
      </w:r>
    </w:p>
    <w:p w14:paraId="44E40DC0">
      <w:pPr>
        <w:pStyle w:val="14"/>
        <w:ind w:firstLine="560"/>
        <w:rPr>
          <w:rFonts w:hint="eastAsia" w:cs="宋体"/>
          <w:b w:val="0"/>
          <w:snapToGrid/>
          <w:color w:val="auto"/>
          <w:sz w:val="21"/>
          <w:szCs w:val="21"/>
          <w:lang w:val="en-US" w:eastAsia="zh-CN" w:bidi="ar"/>
        </w:rPr>
      </w:pPr>
      <w:r>
        <w:rPr>
          <w:rFonts w:hint="eastAsia" w:cs="宋体"/>
          <w:b w:val="0"/>
          <w:snapToGrid/>
          <w:color w:val="auto"/>
          <w:sz w:val="21"/>
          <w:szCs w:val="21"/>
          <w:lang w:val="en-US" w:eastAsia="zh-CN" w:bidi="ar"/>
        </w:rPr>
        <w:t>运营管理及调度区划概述：</w:t>
      </w:r>
    </w:p>
    <w:p w14:paraId="7BF0664C">
      <w:pPr>
        <w:pStyle w:val="14"/>
        <w:ind w:firstLine="560"/>
        <w:rPr>
          <w:rFonts w:hint="eastAsia" w:cs="宋体"/>
          <w:b w:val="0"/>
          <w:snapToGrid/>
          <w:color w:val="auto"/>
          <w:sz w:val="21"/>
          <w:szCs w:val="21"/>
          <w:lang w:val="en-US" w:eastAsia="zh-CN" w:bidi="ar"/>
        </w:rPr>
      </w:pPr>
      <w:r>
        <w:rPr>
          <w:rFonts w:hint="eastAsia" w:cs="宋体"/>
          <w:b w:val="0"/>
          <w:snapToGrid/>
          <w:color w:val="auto"/>
          <w:sz w:val="21"/>
          <w:szCs w:val="21"/>
          <w:lang w:val="en-US" w:eastAsia="zh-CN" w:bidi="ar"/>
        </w:rPr>
        <w:t>采用自管自营模式。</w:t>
      </w:r>
    </w:p>
    <w:p w14:paraId="509172DC">
      <w:pPr>
        <w:pStyle w:val="14"/>
        <w:ind w:firstLine="560"/>
        <w:rPr>
          <w:rFonts w:hint="eastAsia" w:cs="宋体"/>
          <w:b w:val="0"/>
          <w:snapToGrid/>
          <w:color w:val="auto"/>
          <w:sz w:val="21"/>
          <w:szCs w:val="21"/>
          <w:lang w:val="en-US" w:eastAsia="zh-CN" w:bidi="ar"/>
        </w:rPr>
      </w:pPr>
      <w:r>
        <w:rPr>
          <w:rFonts w:hint="eastAsia" w:cs="宋体"/>
          <w:b w:val="0"/>
          <w:snapToGrid/>
          <w:color w:val="auto"/>
          <w:sz w:val="21"/>
          <w:szCs w:val="21"/>
          <w:lang w:val="en-US" w:eastAsia="zh-CN" w:bidi="ar"/>
        </w:rPr>
        <w:t>本线不设计调度指挥设备，运输调度指挥采用电话调度方式。</w:t>
      </w:r>
    </w:p>
    <w:p w14:paraId="76F0487F">
      <w:pPr>
        <w:pStyle w:val="14"/>
        <w:ind w:firstLine="560"/>
        <w:rPr>
          <w:rFonts w:hint="eastAsia" w:cs="宋体"/>
          <w:b w:val="0"/>
          <w:snapToGrid/>
          <w:color w:val="auto"/>
          <w:sz w:val="21"/>
          <w:szCs w:val="21"/>
          <w:lang w:val="en-US" w:eastAsia="zh-CN" w:bidi="ar"/>
        </w:rPr>
      </w:pPr>
      <w:r>
        <w:rPr>
          <w:rFonts w:hint="eastAsia" w:cs="宋体"/>
          <w:b w:val="0"/>
          <w:snapToGrid/>
          <w:color w:val="auto"/>
          <w:sz w:val="21"/>
          <w:szCs w:val="21"/>
          <w:lang w:val="en-US" w:eastAsia="zh-CN" w:bidi="ar"/>
        </w:rPr>
        <w:t>本线在茅坪港站设置综合维修工区。</w:t>
      </w:r>
    </w:p>
    <w:p w14:paraId="7B1A2386">
      <w:pPr>
        <w:pStyle w:val="3"/>
        <w:widowControl w:val="0"/>
        <w:spacing w:before="0" w:beforeAutospacing="0" w:after="253" w:afterAutospacing="0"/>
        <w:ind w:firstLine="422" w:firstLineChars="200"/>
        <w:jc w:val="both"/>
        <w:outlineLvl w:val="2"/>
        <w:rPr>
          <w:rFonts w:hint="eastAsia"/>
          <w:color w:val="auto"/>
          <w:sz w:val="21"/>
          <w:szCs w:val="21"/>
        </w:rPr>
      </w:pPr>
      <w:bookmarkStart w:id="314" w:name="_Toc9142"/>
      <w:bookmarkStart w:id="315" w:name="_Toc21156"/>
      <w:bookmarkStart w:id="316" w:name="_Toc22367"/>
      <w:r>
        <w:rPr>
          <w:rFonts w:hint="eastAsia"/>
          <w:b/>
          <w:color w:val="auto"/>
          <w:kern w:val="44"/>
          <w:sz w:val="21"/>
          <w:szCs w:val="21"/>
          <w:lang w:bidi="ar"/>
        </w:rPr>
        <w:t>1.2  沿线气候及地质情况</w:t>
      </w:r>
      <w:bookmarkEnd w:id="314"/>
      <w:bookmarkEnd w:id="315"/>
      <w:bookmarkEnd w:id="316"/>
    </w:p>
    <w:p w14:paraId="34D1C165">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1.2.1气象特征</w:t>
      </w:r>
    </w:p>
    <w:p w14:paraId="6DF500F4">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宜昌属亚热带季风性湿润气候。四季分明，春秋较长。除少数高山地区外，冬冷夏热，秋温高于春温，冬干夏湿，雨热同季，四季分明的特点十分明显。由于全市地形复杂多样，不仅形成了丰富多样的气候类型，也导致气象灾害具有多样性、复杂性、局地性和突发性，如干旱、洪涝频繁；暴雨、大风、冰雹、大雾等对飞行影响较大的灾害性天气，冬春夏时有发生。年平均水量为992.1～1404.1mm 之间。雨水丰沛，多在夏季，比较长的降水过程都发生在6～7月份，雨热同季，全年积温较高，无霜期较长，年平均气温为13.1℃～18℃，但随着海拔高度上升而递减，每上升100m 降低0.6℃。7月平均气温24.2℃～32.4℃，元月平均气温2.1℃～8.6℃。极端最高气温40.4℃，最低气温-9.8℃。</w:t>
      </w:r>
    </w:p>
    <w:p w14:paraId="6B32727F">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1.2.2地形地貌</w:t>
      </w:r>
    </w:p>
    <w:p w14:paraId="095F54AC">
      <w:pPr>
        <w:pStyle w:val="14"/>
        <w:ind w:firstLine="560"/>
        <w:rPr>
          <w:rFonts w:hint="eastAsia" w:cs="宋体"/>
          <w:b w:val="0"/>
          <w:snapToGrid/>
          <w:color w:val="auto"/>
          <w:sz w:val="21"/>
          <w:szCs w:val="21"/>
          <w:lang w:bidi="ar"/>
        </w:rPr>
      </w:pPr>
      <w:bookmarkStart w:id="317" w:name="_Toc20170"/>
      <w:bookmarkStart w:id="318" w:name="_Toc533"/>
      <w:bookmarkStart w:id="319" w:name="_Toc29089"/>
      <w:bookmarkStart w:id="320" w:name="_Toc11537"/>
      <w:bookmarkStart w:id="321" w:name="_Toc9209"/>
      <w:bookmarkStart w:id="322" w:name="_Toc9482"/>
      <w:r>
        <w:rPr>
          <w:rFonts w:hint="eastAsia" w:cs="宋体"/>
          <w:b w:val="0"/>
          <w:snapToGrid/>
          <w:color w:val="auto"/>
          <w:sz w:val="21"/>
          <w:szCs w:val="21"/>
          <w:lang w:bidi="ar"/>
        </w:rPr>
        <w:t>项目位于湖北省宜昌市境内，线路自东向西，经点军区、夷陵区、秭归县。线路穿越剥蚀丘陵区及中低山区两个地貌单元，宜昌南至三涧溪处于鄂西山地与江汉平原的过渡地段，多呈低丘及宽缓谷地地貌，沿线地势开阔，丘顶标高一般为100～400m；三涧溪至茅坪港站属构造溶蚀－侵蚀中低山区，最大海拔高程800m，相对高差100～400m，地势陡峻，河谷深切。溶蚀峰林、岩溶槽谷等岩溶地貌较发育，岩溶洼地零星分布。</w:t>
      </w:r>
    </w:p>
    <w:p w14:paraId="293FF891">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1）地层岩性</w:t>
      </w:r>
    </w:p>
    <w:p w14:paraId="162FA15A">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区域内主要出露燕山期侵入的英云闪长岩、花岗岩，基本分布于杨木岭至茅坪港区一带，沿线路方向长度约14.27Km，占线路总长度的37%，大部分地段风化壳厚度10～20m、最大可达35m，风化物多为含（砂）砾黏性土；可溶岩主要为震旦系（Z）及寒武系（∈）的灰岩、白云岩等碳酸盐岩，分布于宋家冲至杨木岭一带，沿线路方向长度约14.64Km，占线路总长的37%；碎屑岩以白垩系（K）砾岩、泥质粉砂岩为主，部分地段为震旦系（Z）与寒武系（∈）的砂页岩、粘土岩，主要分布于宜昌南站至宋家冲以及杨木岭一带，沿线路方向长度约10.2Km，占线路总长的26%。</w:t>
      </w:r>
    </w:p>
    <w:p w14:paraId="3C4DC8E5">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第四系地层坡残积层主要分布在丘陵斜坡地带及花岗岩顶部，以粉质黏土为主，硬塑状，厚度2～5m；冲洪积层主要分布在宜昌南站及丘间谷地地段，以黏土、粉质黏土为主，宜昌南站附近分布软黏性土，厚度一般小于8m，具有天然含水量高、天然孔隙比大、压缩性高、抗剪强度低等特性。</w:t>
      </w:r>
    </w:p>
    <w:p w14:paraId="0F20D2CF">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2）地质构造</w:t>
      </w:r>
    </w:p>
    <w:p w14:paraId="79440BF7">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本线路大部分处于黄陵背斜东南翼单斜构造中，部分位于黄陵背斜西南端。黄陵背斜，周边被仙女山断裂、新华断裂、通城河大断裂等围割，背斜轴向北北东，长约73km，宽约36km，长短轴之比约二比一，为短轴背斜。核部出露崆岭群和扬子期中酸性侵入岩体，四周由震旦系～三叠系巨厚层沉积岩组成。岩层走向绕核部而周转，东翼岩层倾斜平缓，倾角在15°以内，岩层走向北东40°、倾向南东130°，线路走向与岩层走向呈大角度相交。</w:t>
      </w:r>
    </w:p>
    <w:p w14:paraId="428BE87C">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沿线断裂发育较少，主要有黑岩子断裂等。黑岩子断裂属于新华夏系体系，发育于英云闪长岩体和崆岭群上组之中，呈曲线形展布，略向南西突出，走向北西330°，倾向北东60°，倾角65°，为张性断裂，规模约7km，线路走向与其走向大致平行，间距 400m~700m，无交汇。其余断层分布在DK20+000~DK23+000 区间，杨木岭隧道范围内，规模均小于 1.2km，与线路呈大角度斜交。</w:t>
      </w:r>
    </w:p>
    <w:p w14:paraId="0C62AA4D">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3）不良地质情况</w:t>
      </w:r>
    </w:p>
    <w:p w14:paraId="402C09DD">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沿线存在的不良地质主要有：岩溶及岩溶水、黄陵背斜、黑岩子断裂、DK20+000~DK23+000分布有断层破碎带、滑坡及堆积体、危岩落石、放射性、花岗岩不均匀风化、缓倾岩层、页岩白垩系红层</w:t>
      </w:r>
    </w:p>
    <w:p w14:paraId="74833E78">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1.2.3  地震参数</w:t>
      </w:r>
      <w:bookmarkEnd w:id="317"/>
      <w:bookmarkEnd w:id="318"/>
      <w:bookmarkEnd w:id="319"/>
      <w:bookmarkEnd w:id="320"/>
      <w:bookmarkEnd w:id="321"/>
      <w:bookmarkEnd w:id="322"/>
    </w:p>
    <w:p w14:paraId="6A0083F7">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根据《中国地震动峰值加速度区划图》（GB18306-2015图A1）和《中国地震动反应谱特征周期区划图》（GB18306-2015图B1），沿线地震动峰值加速度0.05g、动反应谱特征周期0.35s，地震基本烈度Ⅵ度。</w:t>
      </w:r>
    </w:p>
    <w:p w14:paraId="30D39D08">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1.2.4水文地质特征</w:t>
      </w:r>
    </w:p>
    <w:p w14:paraId="413C10E0">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1）地表水</w:t>
      </w:r>
    </w:p>
    <w:p w14:paraId="38603A77">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本线位于湖北省秭归县、宜昌市境内，线路终点位于三峡库岸。沿线水系属长江流域，主要地貌单元为中低山区及丘陵区，地形起伏较大。主要河流有卷桥河、三涧溪、幕阳溪、茅坪河、陈家冲河等河流，均无通航条件。</w:t>
      </w:r>
    </w:p>
    <w:p w14:paraId="5EAFBFF2">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2）地下水分布及特征</w:t>
      </w:r>
    </w:p>
    <w:p w14:paraId="17638327">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根据沿线地下水在含水岩组中的赋存状况、水动力特征，划分为以下三个地下水类型：</w:t>
      </w:r>
    </w:p>
    <w:p w14:paraId="5FAB39A5">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①松散岩类孔隙水：赋存在第四系冲洪积、坡洪积、坡残积、崩坡积层中。此类水补给源为大气降水及相邻地下水系统，以渗流形式排泄。</w:t>
      </w:r>
    </w:p>
    <w:p w14:paraId="46CF5DE9">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②碳酸盐岩类岩溶水：全线碳酸盐岩广泛分布，全长约14.64km，约占线路总长的37.0%，碳酸盐岩类岩溶水是测区的主要地下水类型。碳酸盐岩类岩溶水又可分为碳酸盐岩类裂隙溶洞水和碳酸盐岩夹碎屑岩的岩溶裂隙水两个亚类。碳酸盐岩溶洞水：主要存在于奥陶系下统南津关组、寒武系上统三游洞群、寒武系中统覃家庙群及下统石龙洞和天河板组、震旦系灯影组等地层中，岩性主要为白云岩、硅质白云岩、灰岩、泥质条带灰岩等。碳酸盐岩夹碎屑岩岩溶裂隙水：主要存在于震旦系陡山沱组。岩性以含燧石白云岩为主，夹页岩，岩溶化程度相对较低。</w:t>
      </w:r>
    </w:p>
    <w:p w14:paraId="1C528DDC">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③基岩裂隙水：主要分布于宜昌点军区和秭归县黄陵背斜核部等地区，但地下水量较小，可划分为碎屑岩构造裂隙水、岩浆岩风化带网状裂隙水等二个亚类。碎屑岩构造裂隙水：主要存在于白垩系五龙组、石门组、寒武系下统水井沱、石牌组、震旦系下统南沱组、莲沱组，岩性主要为泥质粉砂岩、页岩、粘土岩、粉砂岩、冰碛砾岩、长石石英砂岩等。岩浆岩风化带网状裂隙水：主要赋存于黄陵地区岩浆岩风化带网状裂隙构成的导水网络中。</w:t>
      </w:r>
    </w:p>
    <w:p w14:paraId="2618FF13">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3）环境水的侵蚀性</w:t>
      </w:r>
    </w:p>
    <w:p w14:paraId="27FE40B0">
      <w:pPr>
        <w:pStyle w:val="14"/>
        <w:ind w:firstLine="560"/>
        <w:rPr>
          <w:rFonts w:hint="eastAsia" w:cs="宋体"/>
          <w:b w:val="0"/>
          <w:snapToGrid/>
          <w:color w:val="auto"/>
          <w:sz w:val="21"/>
          <w:szCs w:val="21"/>
          <w:lang w:bidi="ar"/>
        </w:rPr>
      </w:pPr>
      <w:r>
        <w:rPr>
          <w:rFonts w:hint="eastAsia" w:cs="宋体"/>
          <w:b w:val="0"/>
          <w:snapToGrid/>
          <w:color w:val="auto"/>
          <w:sz w:val="21"/>
          <w:szCs w:val="21"/>
          <w:lang w:bidi="ar"/>
        </w:rPr>
        <w:t>根据《铁路混凝土结构耐久性设计规范》（TB10005-2010)，结合本线的情况和特点，腐蚀环境主要考虑碳化环境、氯盐环境、化学侵蚀环境、盐类结晶破坏环境。项目区域内各地年平均相对湿度≥60%，碳化作用等级为T2；全线地表水及地下水水质较好，多可直接饮用，局部地段化学环境作用等级为H1，盐类结晶破坏作用等级为 Y1。</w:t>
      </w:r>
    </w:p>
    <w:p w14:paraId="60047009">
      <w:pPr>
        <w:pStyle w:val="3"/>
        <w:widowControl w:val="0"/>
        <w:spacing w:before="0" w:beforeAutospacing="0" w:after="0" w:afterAutospacing="0"/>
        <w:ind w:firstLine="422" w:firstLineChars="200"/>
        <w:jc w:val="both"/>
        <w:outlineLvl w:val="2"/>
        <w:rPr>
          <w:rFonts w:hint="eastAsia"/>
          <w:b/>
          <w:color w:val="auto"/>
          <w:sz w:val="21"/>
          <w:szCs w:val="21"/>
          <w:lang w:bidi="ar"/>
        </w:rPr>
      </w:pPr>
      <w:bookmarkStart w:id="323" w:name="_Toc18459"/>
      <w:bookmarkStart w:id="324" w:name="_Toc13580"/>
      <w:bookmarkStart w:id="325" w:name="_Toc19698"/>
      <w:r>
        <w:rPr>
          <w:rFonts w:hint="eastAsia"/>
          <w:b/>
          <w:color w:val="auto"/>
          <w:kern w:val="44"/>
          <w:sz w:val="21"/>
          <w:szCs w:val="21"/>
          <w:lang w:bidi="ar"/>
        </w:rPr>
        <w:t xml:space="preserve">1.3  </w:t>
      </w:r>
      <w:r>
        <w:rPr>
          <w:rFonts w:hint="eastAsia"/>
          <w:b/>
          <w:color w:val="auto"/>
          <w:sz w:val="21"/>
          <w:szCs w:val="21"/>
          <w:lang w:bidi="ar"/>
        </w:rPr>
        <w:t>通信工程计范围</w:t>
      </w:r>
      <w:bookmarkEnd w:id="323"/>
      <w:bookmarkEnd w:id="324"/>
      <w:bookmarkEnd w:id="325"/>
    </w:p>
    <w:p w14:paraId="254AE9C7">
      <w:pPr>
        <w:ind w:firstLine="420" w:firstLineChars="200"/>
        <w:rPr>
          <w:color w:val="auto"/>
          <w:sz w:val="21"/>
          <w:szCs w:val="21"/>
        </w:rPr>
      </w:pPr>
      <w:r>
        <w:rPr>
          <w:rFonts w:hint="eastAsia"/>
          <w:color w:val="auto"/>
          <w:sz w:val="21"/>
          <w:szCs w:val="21"/>
        </w:rPr>
        <w:t>本工程通信系统构成包括</w:t>
      </w:r>
      <w:r>
        <w:rPr>
          <w:rFonts w:hint="eastAsia"/>
          <w:color w:val="auto"/>
          <w:sz w:val="21"/>
          <w:szCs w:val="21"/>
          <w:lang w:val="en-GB"/>
        </w:rPr>
        <w:t>传输系统、电话交换及接入系统、调度通信系统、移动通信系统、通信电源、防雷及接地、电源及设备房屋环境监控</w:t>
      </w:r>
      <w:r>
        <w:rPr>
          <w:rFonts w:hint="eastAsia"/>
          <w:color w:val="auto"/>
          <w:sz w:val="21"/>
          <w:szCs w:val="21"/>
        </w:rPr>
        <w:t>等。</w:t>
      </w:r>
    </w:p>
    <w:p w14:paraId="45F74F55">
      <w:pPr>
        <w:widowControl/>
        <w:ind w:firstLine="420" w:firstLineChars="200"/>
        <w:rPr>
          <w:color w:val="auto"/>
          <w:spacing w:val="20"/>
          <w:sz w:val="21"/>
          <w:szCs w:val="21"/>
          <w:highlight w:val="yellow"/>
        </w:rPr>
      </w:pPr>
      <w:r>
        <w:rPr>
          <w:rFonts w:hint="eastAsia"/>
          <w:color w:val="auto"/>
          <w:sz w:val="21"/>
          <w:szCs w:val="21"/>
        </w:rPr>
        <w:t>通信线路包括长途干线光缆线路以及站场通信光电缆线路。</w:t>
      </w:r>
    </w:p>
    <w:p w14:paraId="3BAB5A21">
      <w:pPr>
        <w:pStyle w:val="8"/>
        <w:rPr>
          <w:rFonts w:hint="eastAsia"/>
          <w:color w:val="auto"/>
          <w:sz w:val="21"/>
          <w:szCs w:val="21"/>
        </w:rPr>
      </w:pPr>
      <w:bookmarkStart w:id="326" w:name="_Toc7749"/>
      <w:r>
        <w:rPr>
          <w:rFonts w:hint="eastAsia"/>
          <w:color w:val="auto"/>
          <w:kern w:val="2"/>
          <w:sz w:val="21"/>
          <w:szCs w:val="21"/>
        </w:rPr>
        <w:t>2.</w:t>
      </w:r>
      <w:bookmarkEnd w:id="311"/>
      <w:bookmarkEnd w:id="312"/>
      <w:bookmarkEnd w:id="313"/>
      <w:r>
        <w:rPr>
          <w:rFonts w:hint="eastAsia"/>
          <w:color w:val="auto"/>
          <w:sz w:val="21"/>
          <w:szCs w:val="21"/>
        </w:rPr>
        <w:t>通用技术要求</w:t>
      </w:r>
      <w:bookmarkEnd w:id="326"/>
    </w:p>
    <w:p w14:paraId="37AD6D32">
      <w:pPr>
        <w:ind w:firstLine="420" w:firstLineChars="200"/>
        <w:rPr>
          <w:color w:val="auto"/>
          <w:sz w:val="21"/>
          <w:szCs w:val="21"/>
        </w:rPr>
      </w:pPr>
      <w:r>
        <w:rPr>
          <w:rFonts w:hint="eastAsia"/>
          <w:color w:val="auto"/>
          <w:sz w:val="21"/>
          <w:szCs w:val="21"/>
        </w:rPr>
        <w:t>（1）本项目的气象条件</w:t>
      </w:r>
    </w:p>
    <w:p w14:paraId="1342DC67">
      <w:pPr>
        <w:ind w:firstLine="420" w:firstLineChars="200"/>
        <w:rPr>
          <w:color w:val="auto"/>
          <w:sz w:val="21"/>
          <w:szCs w:val="21"/>
        </w:rPr>
      </w:pPr>
      <w:r>
        <w:rPr>
          <w:rFonts w:hint="eastAsia"/>
          <w:color w:val="auto"/>
          <w:sz w:val="21"/>
          <w:szCs w:val="21"/>
        </w:rPr>
        <w:t>海拔高度：应满足海拔高度3000m。</w:t>
      </w:r>
    </w:p>
    <w:p w14:paraId="070E089B">
      <w:pPr>
        <w:ind w:firstLine="420" w:firstLineChars="200"/>
        <w:rPr>
          <w:color w:val="auto"/>
          <w:sz w:val="21"/>
          <w:szCs w:val="21"/>
        </w:rPr>
      </w:pPr>
      <w:r>
        <w:rPr>
          <w:color w:val="auto"/>
          <w:sz w:val="21"/>
          <w:szCs w:val="21"/>
        </w:rPr>
        <w:t>环境温度、湿度：</w:t>
      </w:r>
      <w:r>
        <w:rPr>
          <w:rFonts w:hint="eastAsia"/>
          <w:color w:val="auto"/>
          <w:sz w:val="21"/>
          <w:szCs w:val="21"/>
        </w:rPr>
        <w:t>-20</w:t>
      </w:r>
      <w:r>
        <w:rPr>
          <w:rFonts w:hint="eastAsia" w:ascii="宋体" w:hAnsi="宋体"/>
          <w:color w:val="auto"/>
          <w:sz w:val="21"/>
          <w:szCs w:val="21"/>
        </w:rPr>
        <w:t>～</w:t>
      </w:r>
      <w:r>
        <w:rPr>
          <w:rFonts w:hint="eastAsia"/>
          <w:color w:val="auto"/>
          <w:sz w:val="21"/>
          <w:szCs w:val="21"/>
        </w:rPr>
        <w:t>55℃；当温度为25℃时，周围空气相对湿度不大于90%。</w:t>
      </w:r>
    </w:p>
    <w:p w14:paraId="406CC3BA">
      <w:pPr>
        <w:ind w:firstLine="420" w:firstLineChars="200"/>
        <w:rPr>
          <w:color w:val="auto"/>
          <w:sz w:val="21"/>
          <w:szCs w:val="21"/>
        </w:rPr>
      </w:pPr>
      <w:r>
        <w:rPr>
          <w:rFonts w:hint="eastAsia"/>
          <w:color w:val="auto"/>
          <w:sz w:val="21"/>
          <w:szCs w:val="21"/>
        </w:rPr>
        <w:t>最大风速：35m/s。</w:t>
      </w:r>
    </w:p>
    <w:p w14:paraId="279D90DC">
      <w:pPr>
        <w:ind w:firstLine="420" w:firstLineChars="200"/>
        <w:rPr>
          <w:color w:val="auto"/>
          <w:sz w:val="21"/>
          <w:szCs w:val="21"/>
        </w:rPr>
      </w:pPr>
      <w:r>
        <w:rPr>
          <w:rFonts w:hint="eastAsia"/>
          <w:color w:val="auto"/>
          <w:sz w:val="21"/>
          <w:szCs w:val="21"/>
        </w:rPr>
        <w:t>（2）</w:t>
      </w:r>
      <w:r>
        <w:rPr>
          <w:color w:val="auto"/>
          <w:sz w:val="21"/>
          <w:szCs w:val="21"/>
        </w:rPr>
        <w:t>设备房屋室内环境条件</w:t>
      </w:r>
    </w:p>
    <w:p w14:paraId="62CB1D0A">
      <w:pPr>
        <w:ind w:firstLine="420" w:firstLineChars="200"/>
        <w:rPr>
          <w:color w:val="auto"/>
          <w:sz w:val="21"/>
          <w:szCs w:val="21"/>
        </w:rPr>
      </w:pPr>
      <w:r>
        <w:rPr>
          <w:color w:val="auto"/>
          <w:sz w:val="21"/>
          <w:szCs w:val="21"/>
        </w:rPr>
        <w:t>设备房屋荷载：</w:t>
      </w:r>
      <w:r>
        <w:rPr>
          <w:rFonts w:hint="eastAsia"/>
          <w:color w:val="auto"/>
          <w:sz w:val="21"/>
          <w:szCs w:val="21"/>
        </w:rPr>
        <w:t>楼板均布荷载</w:t>
      </w:r>
      <w:r>
        <w:rPr>
          <w:rFonts w:hint="eastAsia" w:ascii="宋体" w:hAnsi="宋体"/>
          <w:color w:val="auto"/>
          <w:sz w:val="21"/>
          <w:szCs w:val="21"/>
        </w:rPr>
        <w:t>≥</w:t>
      </w:r>
      <w:r>
        <w:rPr>
          <w:rFonts w:hint="eastAsia"/>
          <w:color w:val="auto"/>
          <w:sz w:val="21"/>
          <w:szCs w:val="21"/>
        </w:rPr>
        <w:t>800kg/m</w:t>
      </w:r>
      <w:r>
        <w:rPr>
          <w:rFonts w:hint="eastAsia"/>
          <w:color w:val="auto"/>
          <w:sz w:val="21"/>
          <w:szCs w:val="21"/>
          <w:vertAlign w:val="superscript"/>
        </w:rPr>
        <w:t>2</w:t>
      </w:r>
    </w:p>
    <w:p w14:paraId="2525EFA9">
      <w:pPr>
        <w:ind w:firstLine="420" w:firstLineChars="200"/>
        <w:rPr>
          <w:color w:val="auto"/>
          <w:sz w:val="21"/>
          <w:szCs w:val="21"/>
        </w:rPr>
      </w:pPr>
      <w:r>
        <w:rPr>
          <w:rFonts w:hint="eastAsia"/>
          <w:color w:val="auto"/>
          <w:sz w:val="21"/>
          <w:szCs w:val="21"/>
        </w:rPr>
        <w:t>温湿度参数：满足《数据中心设计规范》（GB50174-2017）的相关要求。</w:t>
      </w:r>
    </w:p>
    <w:p w14:paraId="3B67F6DE">
      <w:pPr>
        <w:ind w:firstLine="420" w:firstLineChars="200"/>
        <w:rPr>
          <w:color w:val="auto"/>
          <w:sz w:val="21"/>
          <w:szCs w:val="21"/>
        </w:rPr>
      </w:pPr>
      <w:r>
        <w:rPr>
          <w:rFonts w:hint="eastAsia"/>
          <w:color w:val="auto"/>
          <w:sz w:val="21"/>
          <w:szCs w:val="21"/>
        </w:rPr>
        <w:t>（3）</w:t>
      </w:r>
      <w:r>
        <w:rPr>
          <w:color w:val="auto"/>
          <w:sz w:val="21"/>
          <w:szCs w:val="21"/>
        </w:rPr>
        <w:t>本项目特殊环境条件</w:t>
      </w:r>
    </w:p>
    <w:p w14:paraId="1E767FA3">
      <w:pPr>
        <w:ind w:firstLine="420" w:firstLineChars="200"/>
        <w:rPr>
          <w:color w:val="auto"/>
          <w:sz w:val="21"/>
          <w:szCs w:val="21"/>
        </w:rPr>
      </w:pPr>
      <w:r>
        <w:rPr>
          <w:rFonts w:hint="eastAsia"/>
          <w:color w:val="auto"/>
          <w:sz w:val="21"/>
          <w:szCs w:val="21"/>
        </w:rPr>
        <w:t>本项目为电气化铁路，设计</w:t>
      </w:r>
      <w:r>
        <w:rPr>
          <w:color w:val="auto"/>
          <w:sz w:val="21"/>
          <w:szCs w:val="21"/>
        </w:rPr>
        <w:t>列车运行速度为：80</w:t>
      </w:r>
      <w:r>
        <w:rPr>
          <w:rFonts w:hint="eastAsia"/>
          <w:color w:val="auto"/>
          <w:sz w:val="21"/>
          <w:szCs w:val="21"/>
        </w:rPr>
        <w:t>km/h。</w:t>
      </w:r>
      <w:r>
        <w:rPr>
          <w:color w:val="auto"/>
          <w:sz w:val="21"/>
          <w:szCs w:val="21"/>
        </w:rPr>
        <w:t>所有设备</w:t>
      </w:r>
      <w:r>
        <w:rPr>
          <w:rFonts w:hint="eastAsia"/>
          <w:color w:val="auto"/>
          <w:sz w:val="21"/>
          <w:szCs w:val="21"/>
        </w:rPr>
        <w:t>技术环境条件涉及</w:t>
      </w:r>
      <w:r>
        <w:rPr>
          <w:color w:val="auto"/>
          <w:sz w:val="21"/>
          <w:szCs w:val="21"/>
        </w:rPr>
        <w:t>列车运行速度、风压等数值时，均按8</w:t>
      </w:r>
      <w:r>
        <w:rPr>
          <w:rFonts w:hint="eastAsia"/>
          <w:color w:val="auto"/>
          <w:sz w:val="21"/>
          <w:szCs w:val="21"/>
        </w:rPr>
        <w:t>0km/h计算</w:t>
      </w:r>
      <w:r>
        <w:rPr>
          <w:color w:val="auto"/>
          <w:sz w:val="21"/>
          <w:szCs w:val="21"/>
        </w:rPr>
        <w:t>。</w:t>
      </w:r>
    </w:p>
    <w:p w14:paraId="430B53A7">
      <w:pPr>
        <w:ind w:firstLine="420" w:firstLineChars="200"/>
        <w:rPr>
          <w:color w:val="auto"/>
          <w:sz w:val="21"/>
          <w:szCs w:val="21"/>
        </w:rPr>
      </w:pPr>
      <w:r>
        <w:rPr>
          <w:rFonts w:hint="eastAsia"/>
          <w:color w:val="auto"/>
          <w:sz w:val="21"/>
          <w:szCs w:val="21"/>
        </w:rPr>
        <w:t>（4）</w:t>
      </w:r>
      <w:r>
        <w:rPr>
          <w:color w:val="auto"/>
          <w:sz w:val="21"/>
          <w:szCs w:val="21"/>
        </w:rPr>
        <w:t>本项目</w:t>
      </w:r>
      <w:r>
        <w:rPr>
          <w:rFonts w:hint="eastAsia"/>
          <w:color w:val="auto"/>
          <w:sz w:val="21"/>
          <w:szCs w:val="21"/>
        </w:rPr>
        <w:t>外供电源为380V/220V AC电源。</w:t>
      </w:r>
    </w:p>
    <w:p w14:paraId="2494F36E">
      <w:pPr>
        <w:ind w:firstLine="420" w:firstLineChars="200"/>
        <w:rPr>
          <w:color w:val="auto"/>
          <w:sz w:val="21"/>
          <w:szCs w:val="21"/>
        </w:rPr>
      </w:pPr>
      <w:r>
        <w:rPr>
          <w:rFonts w:hint="eastAsia"/>
          <w:color w:val="auto"/>
          <w:sz w:val="21"/>
          <w:szCs w:val="21"/>
        </w:rPr>
        <w:t>（5）</w:t>
      </w:r>
      <w:r>
        <w:rPr>
          <w:color w:val="auto"/>
          <w:sz w:val="21"/>
          <w:szCs w:val="21"/>
        </w:rPr>
        <w:t>本项目所有设备、材料应保证在本项目环境下正常使用，功能和性能不得降低。</w:t>
      </w:r>
    </w:p>
    <w:p w14:paraId="014B7A90">
      <w:pPr>
        <w:ind w:firstLine="420" w:firstLineChars="200"/>
        <w:rPr>
          <w:color w:val="auto"/>
          <w:sz w:val="21"/>
          <w:szCs w:val="21"/>
        </w:rPr>
      </w:pPr>
      <w:r>
        <w:rPr>
          <w:rFonts w:hint="eastAsia"/>
          <w:color w:val="auto"/>
          <w:sz w:val="21"/>
          <w:szCs w:val="21"/>
        </w:rPr>
        <w:t>（6）除非有特别说明，室外设备防护等级不低于IEC IP65。</w:t>
      </w:r>
    </w:p>
    <w:p w14:paraId="47A9913F">
      <w:pPr>
        <w:ind w:firstLine="420" w:firstLineChars="200"/>
        <w:rPr>
          <w:color w:val="auto"/>
          <w:sz w:val="21"/>
          <w:szCs w:val="21"/>
        </w:rPr>
      </w:pPr>
      <w:r>
        <w:rPr>
          <w:rFonts w:hint="eastAsia"/>
          <w:color w:val="auto"/>
          <w:sz w:val="21"/>
          <w:szCs w:val="21"/>
        </w:rPr>
        <w:t>（7）距离临近轨道中心线10m以内所有通信设备、杆塔、槽道外线缆及其固定部件、防护管槽，材料和结构强度必须保证在本项目气象条件和列车以设计时速运行产生的附加压强和气动力环境下正常使用，不出现整体或部件脱落、变形、损坏。</w:t>
      </w:r>
    </w:p>
    <w:p w14:paraId="4F35FACC">
      <w:pPr>
        <w:ind w:firstLine="404" w:firstLineChars="200"/>
        <w:rPr>
          <w:color w:val="auto"/>
          <w:spacing w:val="-4"/>
          <w:sz w:val="21"/>
          <w:szCs w:val="21"/>
        </w:rPr>
      </w:pPr>
      <w:r>
        <w:rPr>
          <w:rFonts w:hint="eastAsia"/>
          <w:color w:val="auto"/>
          <w:spacing w:val="-4"/>
          <w:sz w:val="21"/>
          <w:szCs w:val="21"/>
        </w:rPr>
        <w:t>（8）</w:t>
      </w:r>
      <w:r>
        <w:rPr>
          <w:color w:val="auto"/>
          <w:spacing w:val="-4"/>
          <w:sz w:val="21"/>
          <w:szCs w:val="21"/>
        </w:rPr>
        <w:t>设备、材料的质量、性能和技术参数均应符合国家、行业和国铁集团现行有关标准的规定，通过国家、行业</w:t>
      </w:r>
      <w:r>
        <w:rPr>
          <w:rFonts w:hint="eastAsia"/>
          <w:color w:val="auto"/>
          <w:spacing w:val="-4"/>
          <w:sz w:val="21"/>
          <w:szCs w:val="21"/>
        </w:rPr>
        <w:t>/国铁集团</w:t>
      </w:r>
      <w:r>
        <w:rPr>
          <w:color w:val="auto"/>
          <w:spacing w:val="-4"/>
          <w:sz w:val="21"/>
          <w:szCs w:val="21"/>
        </w:rPr>
        <w:t>采信的第三方质量检测并合格。</w:t>
      </w:r>
    </w:p>
    <w:p w14:paraId="64E35267">
      <w:pPr>
        <w:ind w:firstLine="420" w:firstLineChars="200"/>
        <w:rPr>
          <w:color w:val="auto"/>
          <w:sz w:val="21"/>
          <w:szCs w:val="21"/>
        </w:rPr>
      </w:pPr>
      <w:r>
        <w:rPr>
          <w:rFonts w:hint="eastAsia"/>
          <w:color w:val="auto"/>
          <w:sz w:val="21"/>
          <w:szCs w:val="21"/>
        </w:rPr>
        <w:t>（9）所有设备均应具备相应级别的雷电防护和防电气化铁路强电影响的能力。</w:t>
      </w:r>
    </w:p>
    <w:p w14:paraId="7FDD21A4">
      <w:pPr>
        <w:ind w:firstLine="420" w:firstLineChars="200"/>
        <w:rPr>
          <w:color w:val="auto"/>
          <w:sz w:val="21"/>
          <w:szCs w:val="21"/>
        </w:rPr>
      </w:pPr>
      <w:r>
        <w:rPr>
          <w:rFonts w:hint="eastAsia"/>
          <w:color w:val="auto"/>
          <w:sz w:val="21"/>
          <w:szCs w:val="21"/>
        </w:rPr>
        <w:t>（10）</w:t>
      </w:r>
      <w:r>
        <w:rPr>
          <w:color w:val="auto"/>
          <w:sz w:val="21"/>
          <w:szCs w:val="21"/>
        </w:rPr>
        <w:t>涉及互联互通的设备，应通过国家、行业</w:t>
      </w:r>
      <w:r>
        <w:rPr>
          <w:rFonts w:hint="eastAsia"/>
          <w:color w:val="auto"/>
          <w:sz w:val="21"/>
          <w:szCs w:val="21"/>
        </w:rPr>
        <w:t>/国铁集团</w:t>
      </w:r>
      <w:r>
        <w:rPr>
          <w:color w:val="auto"/>
          <w:sz w:val="21"/>
          <w:szCs w:val="21"/>
        </w:rPr>
        <w:t>采信的第三方入网认证或互联互通测试。</w:t>
      </w:r>
    </w:p>
    <w:p w14:paraId="616083D1">
      <w:pPr>
        <w:ind w:firstLine="420" w:firstLineChars="200"/>
        <w:rPr>
          <w:color w:val="auto"/>
          <w:sz w:val="21"/>
          <w:szCs w:val="21"/>
        </w:rPr>
      </w:pPr>
      <w:r>
        <w:rPr>
          <w:rFonts w:hint="eastAsia"/>
          <w:color w:val="auto"/>
          <w:sz w:val="21"/>
          <w:szCs w:val="21"/>
        </w:rPr>
        <w:t>（11）各子系统的网管、监控系统，均可远程复示/监控，接口协议应符合有关技术标准的规定。</w:t>
      </w:r>
    </w:p>
    <w:p w14:paraId="4EADD0DA">
      <w:pPr>
        <w:ind w:firstLine="420" w:firstLineChars="200"/>
        <w:rPr>
          <w:color w:val="auto"/>
          <w:sz w:val="21"/>
          <w:szCs w:val="21"/>
        </w:rPr>
      </w:pPr>
      <w:r>
        <w:rPr>
          <w:rFonts w:hint="eastAsia"/>
          <w:color w:val="auto"/>
          <w:sz w:val="21"/>
          <w:szCs w:val="21"/>
        </w:rPr>
        <w:t>（12）《中国铁路总公司铁路专用产品认证采信目录》（铁总科信【2018】196号）中列出</w:t>
      </w:r>
      <w:r>
        <w:rPr>
          <w:color w:val="auto"/>
          <w:sz w:val="21"/>
          <w:szCs w:val="21"/>
        </w:rPr>
        <w:t>的产品，应按照</w:t>
      </w:r>
      <w:r>
        <w:rPr>
          <w:rFonts w:hint="eastAsia"/>
          <w:color w:val="auto"/>
          <w:sz w:val="21"/>
          <w:szCs w:val="21"/>
        </w:rPr>
        <w:t>《中国铁路总公司铁路专用产品认证管理办法》的要求通过相关认证。</w:t>
      </w:r>
    </w:p>
    <w:p w14:paraId="7D32128F">
      <w:pPr>
        <w:ind w:firstLine="420" w:firstLineChars="200"/>
        <w:rPr>
          <w:color w:val="auto"/>
          <w:sz w:val="21"/>
          <w:szCs w:val="21"/>
        </w:rPr>
      </w:pPr>
      <w:r>
        <w:rPr>
          <w:rFonts w:hint="eastAsia"/>
          <w:color w:val="auto"/>
          <w:sz w:val="21"/>
          <w:szCs w:val="21"/>
        </w:rPr>
        <w:t>（13）</w:t>
      </w:r>
      <w:r>
        <w:rPr>
          <w:rFonts w:ascii="宋体" w:hAnsi="宋体"/>
          <w:color w:val="auto"/>
          <w:sz w:val="21"/>
          <w:szCs w:val="21"/>
        </w:rPr>
        <w:t>“</w:t>
      </w:r>
      <w:r>
        <w:rPr>
          <w:color w:val="auto"/>
          <w:sz w:val="21"/>
          <w:szCs w:val="21"/>
        </w:rPr>
        <w:t>四新</w:t>
      </w:r>
      <w:r>
        <w:rPr>
          <w:rFonts w:ascii="宋体" w:hAnsi="宋体"/>
          <w:color w:val="auto"/>
          <w:sz w:val="21"/>
          <w:szCs w:val="21"/>
        </w:rPr>
        <w:t>”</w:t>
      </w:r>
      <w:r>
        <w:rPr>
          <w:color w:val="auto"/>
          <w:sz w:val="21"/>
          <w:szCs w:val="21"/>
        </w:rPr>
        <w:t>（新技术、新设备、新材料、新工艺）产品，应按国铁集团相关规定通过评审和验收。</w:t>
      </w:r>
    </w:p>
    <w:p w14:paraId="04FEF037">
      <w:pPr>
        <w:ind w:firstLine="420" w:firstLineChars="200"/>
        <w:rPr>
          <w:color w:val="auto"/>
          <w:sz w:val="21"/>
          <w:szCs w:val="21"/>
        </w:rPr>
      </w:pPr>
      <w:r>
        <w:rPr>
          <w:rFonts w:hint="eastAsia"/>
          <w:color w:val="auto"/>
          <w:sz w:val="21"/>
          <w:szCs w:val="21"/>
        </w:rPr>
        <w:t>（14）室外设备、槽道、走线架、杆塔均应提供配套安装附件，包括但不限于吊挂件、壁挂安装撑杆或背板、紧固件及螺栓、专用工具。</w:t>
      </w:r>
    </w:p>
    <w:p w14:paraId="43520FA0">
      <w:pPr>
        <w:ind w:firstLine="420" w:firstLineChars="200"/>
        <w:rPr>
          <w:color w:val="auto"/>
          <w:sz w:val="21"/>
          <w:szCs w:val="21"/>
        </w:rPr>
      </w:pPr>
      <w:r>
        <w:rPr>
          <w:rFonts w:hint="eastAsia"/>
          <w:color w:val="auto"/>
          <w:sz w:val="21"/>
          <w:szCs w:val="21"/>
        </w:rPr>
        <w:t>（15）室内设备应配备相适应的机架、机柜、机框，尽可能使用EIA标准机柜，并提供相应的安装紧固件、专用仪器仪表及工具。</w:t>
      </w:r>
    </w:p>
    <w:p w14:paraId="3E2E35F5">
      <w:pPr>
        <w:ind w:firstLine="420" w:firstLineChars="200"/>
        <w:rPr>
          <w:color w:val="auto"/>
          <w:sz w:val="21"/>
          <w:szCs w:val="21"/>
        </w:rPr>
      </w:pPr>
      <w:r>
        <w:rPr>
          <w:rFonts w:hint="eastAsia"/>
          <w:color w:val="auto"/>
          <w:sz w:val="21"/>
          <w:szCs w:val="21"/>
        </w:rPr>
        <w:t>(16)各种金属构件均应采用防腐、防锈材料，或进行防腐、防锈处理。</w:t>
      </w:r>
    </w:p>
    <w:p w14:paraId="0DD8C0C3">
      <w:pPr>
        <w:ind w:firstLine="420" w:firstLineChars="200"/>
        <w:rPr>
          <w:color w:val="auto"/>
          <w:sz w:val="21"/>
          <w:szCs w:val="21"/>
        </w:rPr>
      </w:pPr>
      <w:r>
        <w:rPr>
          <w:rFonts w:hint="eastAsia"/>
          <w:color w:val="auto"/>
          <w:sz w:val="21"/>
          <w:szCs w:val="21"/>
        </w:rPr>
        <w:t>(17)</w:t>
      </w:r>
      <w:r>
        <w:rPr>
          <w:color w:val="auto"/>
          <w:sz w:val="21"/>
          <w:szCs w:val="21"/>
        </w:rPr>
        <w:t>电线、电缆、光缆和电缆槽，应满足《铁路工程设计防火规范》（</w:t>
      </w:r>
      <w:r>
        <w:rPr>
          <w:rFonts w:hint="eastAsia"/>
          <w:color w:val="auto"/>
          <w:sz w:val="21"/>
          <w:szCs w:val="21"/>
        </w:rPr>
        <w:t>TB 10063</w:t>
      </w:r>
      <w:r>
        <w:rPr>
          <w:color w:val="auto"/>
          <w:sz w:val="21"/>
          <w:szCs w:val="21"/>
        </w:rPr>
        <w:t>）的规定。</w:t>
      </w:r>
    </w:p>
    <w:p w14:paraId="4F67BAA0">
      <w:pPr>
        <w:ind w:firstLine="420" w:firstLineChars="200"/>
        <w:rPr>
          <w:color w:val="auto"/>
          <w:sz w:val="21"/>
          <w:szCs w:val="21"/>
        </w:rPr>
      </w:pPr>
      <w:r>
        <w:rPr>
          <w:rFonts w:hint="eastAsia"/>
          <w:color w:val="auto"/>
          <w:sz w:val="21"/>
          <w:szCs w:val="21"/>
        </w:rPr>
        <w:t>(18)用电设备应具有低功耗、低散热量、高能效等特点，电源设备应具备高转换效率、低噪音等特点。</w:t>
      </w:r>
    </w:p>
    <w:p w14:paraId="596F7865">
      <w:pPr>
        <w:ind w:firstLine="420" w:firstLineChars="200"/>
        <w:rPr>
          <w:color w:val="auto"/>
          <w:sz w:val="21"/>
          <w:szCs w:val="21"/>
        </w:rPr>
      </w:pPr>
      <w:r>
        <w:rPr>
          <w:rFonts w:hint="eastAsia"/>
          <w:color w:val="auto"/>
          <w:sz w:val="21"/>
          <w:szCs w:val="21"/>
        </w:rPr>
        <w:t>(19)</w:t>
      </w:r>
      <w:r>
        <w:rPr>
          <w:color w:val="auto"/>
          <w:sz w:val="21"/>
          <w:szCs w:val="21"/>
        </w:rPr>
        <w:t>所有设备、主要材料均应提供详细的安装</w:t>
      </w:r>
      <w:r>
        <w:rPr>
          <w:rFonts w:hint="eastAsia"/>
          <w:color w:val="auto"/>
          <w:sz w:val="21"/>
          <w:szCs w:val="21"/>
        </w:rPr>
        <w:t>/施工作业指导书、使用手册、维护保养手册。</w:t>
      </w:r>
    </w:p>
    <w:p w14:paraId="246AA697">
      <w:pPr>
        <w:pStyle w:val="8"/>
        <w:rPr>
          <w:rFonts w:hint="eastAsia"/>
          <w:color w:val="auto"/>
          <w:kern w:val="2"/>
          <w:sz w:val="21"/>
          <w:szCs w:val="21"/>
        </w:rPr>
      </w:pPr>
      <w:bookmarkStart w:id="327" w:name="_Toc435523884"/>
      <w:bookmarkEnd w:id="327"/>
      <w:bookmarkStart w:id="328" w:name="_Toc435524071"/>
      <w:bookmarkEnd w:id="328"/>
      <w:bookmarkStart w:id="329" w:name="_Toc436830337"/>
      <w:bookmarkEnd w:id="329"/>
      <w:bookmarkStart w:id="330" w:name="_Toc436830333"/>
      <w:bookmarkEnd w:id="330"/>
      <w:bookmarkStart w:id="331" w:name="_Toc436830339"/>
      <w:bookmarkEnd w:id="331"/>
      <w:bookmarkStart w:id="332" w:name="_Toc435525088"/>
      <w:bookmarkEnd w:id="332"/>
      <w:bookmarkStart w:id="333" w:name="_Toc435524091"/>
      <w:bookmarkEnd w:id="333"/>
      <w:bookmarkStart w:id="334" w:name="_Toc435524093"/>
      <w:bookmarkEnd w:id="334"/>
      <w:bookmarkStart w:id="335" w:name="_Toc435523859"/>
      <w:bookmarkEnd w:id="335"/>
      <w:bookmarkStart w:id="336" w:name="_Toc435523875"/>
      <w:bookmarkEnd w:id="336"/>
      <w:bookmarkStart w:id="337" w:name="_Toc435523877"/>
      <w:bookmarkEnd w:id="337"/>
      <w:bookmarkStart w:id="338" w:name="_Toc435523863"/>
      <w:bookmarkEnd w:id="338"/>
      <w:bookmarkStart w:id="339" w:name="_Toc435523871"/>
      <w:bookmarkEnd w:id="339"/>
      <w:bookmarkStart w:id="340" w:name="_Toc436830327"/>
      <w:bookmarkEnd w:id="340"/>
      <w:bookmarkStart w:id="341" w:name="_Toc435525094"/>
      <w:bookmarkEnd w:id="341"/>
      <w:bookmarkStart w:id="342" w:name="_Toc436830348"/>
      <w:bookmarkEnd w:id="342"/>
      <w:bookmarkStart w:id="343" w:name="_Toc435523879"/>
      <w:bookmarkEnd w:id="343"/>
      <w:bookmarkStart w:id="344" w:name="_Toc436830321"/>
      <w:bookmarkEnd w:id="344"/>
      <w:bookmarkStart w:id="345" w:name="_Toc436830335"/>
      <w:bookmarkEnd w:id="345"/>
      <w:bookmarkStart w:id="346" w:name="_Toc435523873"/>
      <w:bookmarkEnd w:id="346"/>
      <w:bookmarkStart w:id="347" w:name="_Toc435523881"/>
      <w:bookmarkEnd w:id="347"/>
      <w:bookmarkStart w:id="348" w:name="_Toc435523865"/>
      <w:bookmarkEnd w:id="348"/>
      <w:bookmarkStart w:id="349" w:name="_Toc435523888"/>
      <w:bookmarkEnd w:id="349"/>
      <w:bookmarkStart w:id="350" w:name="_Toc435525071"/>
      <w:bookmarkEnd w:id="350"/>
      <w:bookmarkStart w:id="351" w:name="_Toc435525092"/>
      <w:bookmarkEnd w:id="351"/>
      <w:bookmarkStart w:id="352" w:name="_Toc435524098"/>
      <w:bookmarkEnd w:id="352"/>
      <w:bookmarkStart w:id="353" w:name="_Toc435523867"/>
      <w:bookmarkEnd w:id="353"/>
      <w:bookmarkStart w:id="354" w:name="_Toc436830342"/>
      <w:bookmarkEnd w:id="354"/>
      <w:bookmarkStart w:id="355" w:name="_Toc436830346"/>
      <w:bookmarkEnd w:id="355"/>
      <w:bookmarkStart w:id="356" w:name="_Toc435524100"/>
      <w:bookmarkEnd w:id="356"/>
      <w:bookmarkStart w:id="357" w:name="_Toc436830319"/>
      <w:bookmarkEnd w:id="357"/>
      <w:bookmarkStart w:id="358" w:name="_Toc435524077"/>
      <w:bookmarkEnd w:id="358"/>
      <w:bookmarkStart w:id="359" w:name="_Toc436830331"/>
      <w:bookmarkEnd w:id="359"/>
      <w:bookmarkStart w:id="360" w:name="_Toc435525067"/>
      <w:bookmarkEnd w:id="360"/>
      <w:bookmarkStart w:id="361" w:name="_Toc435525079"/>
      <w:bookmarkEnd w:id="361"/>
      <w:bookmarkStart w:id="362" w:name="_Toc435523882"/>
      <w:bookmarkEnd w:id="362"/>
      <w:bookmarkStart w:id="363" w:name="_Toc435525090"/>
      <w:bookmarkEnd w:id="363"/>
      <w:bookmarkStart w:id="364" w:name="_Toc435524085"/>
      <w:bookmarkEnd w:id="364"/>
      <w:bookmarkStart w:id="365" w:name="_Toc435525087"/>
      <w:bookmarkEnd w:id="365"/>
      <w:bookmarkStart w:id="366" w:name="_Toc435523861"/>
      <w:bookmarkEnd w:id="366"/>
      <w:bookmarkStart w:id="367" w:name="_Toc436830323"/>
      <w:bookmarkEnd w:id="367"/>
      <w:bookmarkStart w:id="368" w:name="_Toc435524083"/>
      <w:bookmarkEnd w:id="368"/>
      <w:bookmarkStart w:id="369" w:name="_Toc435524079"/>
      <w:bookmarkEnd w:id="369"/>
      <w:bookmarkStart w:id="370" w:name="_Toc435525065"/>
      <w:bookmarkEnd w:id="370"/>
      <w:bookmarkStart w:id="371" w:name="_Toc435523869"/>
      <w:bookmarkEnd w:id="371"/>
      <w:bookmarkStart w:id="372" w:name="_Toc435525083"/>
      <w:bookmarkEnd w:id="372"/>
      <w:bookmarkStart w:id="373" w:name="_Toc436830341"/>
      <w:bookmarkEnd w:id="373"/>
      <w:bookmarkStart w:id="374" w:name="_Toc435525077"/>
      <w:bookmarkEnd w:id="374"/>
      <w:bookmarkStart w:id="375" w:name="_Toc435524089"/>
      <w:bookmarkEnd w:id="375"/>
      <w:bookmarkStart w:id="376" w:name="_Toc436830329"/>
      <w:bookmarkEnd w:id="376"/>
      <w:bookmarkStart w:id="377" w:name="_Toc435523886"/>
      <w:bookmarkEnd w:id="377"/>
      <w:bookmarkStart w:id="378" w:name="_Toc435524094"/>
      <w:bookmarkEnd w:id="378"/>
      <w:bookmarkStart w:id="379" w:name="_Toc435524096"/>
      <w:bookmarkEnd w:id="379"/>
      <w:bookmarkStart w:id="380" w:name="_Toc435525085"/>
      <w:bookmarkEnd w:id="380"/>
      <w:bookmarkStart w:id="381" w:name="_Toc435524081"/>
      <w:bookmarkEnd w:id="381"/>
      <w:bookmarkStart w:id="382" w:name="_Toc435525069"/>
      <w:bookmarkEnd w:id="382"/>
      <w:bookmarkStart w:id="383" w:name="_Toc436830325"/>
      <w:bookmarkEnd w:id="383"/>
      <w:bookmarkStart w:id="384" w:name="_Toc435524073"/>
      <w:bookmarkEnd w:id="384"/>
      <w:bookmarkStart w:id="385" w:name="_Toc436830344"/>
      <w:bookmarkEnd w:id="385"/>
      <w:bookmarkStart w:id="386" w:name="_Toc435524075"/>
      <w:bookmarkEnd w:id="386"/>
      <w:bookmarkStart w:id="387" w:name="_Toc435525075"/>
      <w:bookmarkEnd w:id="387"/>
      <w:bookmarkStart w:id="388" w:name="_Toc435524087"/>
      <w:bookmarkEnd w:id="388"/>
      <w:bookmarkStart w:id="389" w:name="_Toc435525081"/>
      <w:bookmarkEnd w:id="389"/>
      <w:bookmarkStart w:id="390" w:name="_Toc435525073"/>
      <w:bookmarkEnd w:id="390"/>
      <w:bookmarkStart w:id="391" w:name="_Toc406330043"/>
      <w:bookmarkStart w:id="392" w:name="_Toc13350"/>
      <w:bookmarkStart w:id="393" w:name="_Toc406327270"/>
      <w:bookmarkStart w:id="394" w:name="_Toc233511308"/>
      <w:bookmarkStart w:id="395" w:name="_Toc246849186"/>
      <w:bookmarkStart w:id="396" w:name="_Toc234112011"/>
      <w:bookmarkStart w:id="397" w:name="_Toc380564911"/>
      <w:r>
        <w:rPr>
          <w:rFonts w:hint="eastAsia"/>
          <w:color w:val="auto"/>
          <w:kern w:val="2"/>
          <w:sz w:val="21"/>
          <w:szCs w:val="21"/>
        </w:rPr>
        <w:t>3.环境条件</w:t>
      </w:r>
      <w:bookmarkEnd w:id="391"/>
      <w:bookmarkEnd w:id="392"/>
      <w:bookmarkEnd w:id="393"/>
    </w:p>
    <w:p w14:paraId="2A85B7EA">
      <w:pPr>
        <w:pStyle w:val="12"/>
        <w:rPr>
          <w:rFonts w:hint="eastAsia"/>
          <w:color w:val="auto"/>
          <w:kern w:val="2"/>
          <w:sz w:val="21"/>
          <w:szCs w:val="21"/>
        </w:rPr>
      </w:pPr>
      <w:bookmarkStart w:id="398" w:name="_Toc16933"/>
      <w:r>
        <w:rPr>
          <w:rFonts w:hint="eastAsia"/>
          <w:color w:val="auto"/>
          <w:kern w:val="2"/>
          <w:sz w:val="21"/>
          <w:szCs w:val="21"/>
        </w:rPr>
        <w:t>3.1</w:t>
      </w:r>
      <w:r>
        <w:rPr>
          <w:color w:val="auto"/>
          <w:sz w:val="21"/>
          <w:szCs w:val="21"/>
        </w:rPr>
        <w:t xml:space="preserve">  </w:t>
      </w:r>
      <w:r>
        <w:rPr>
          <w:rFonts w:hint="eastAsia"/>
          <w:color w:val="auto"/>
          <w:kern w:val="2"/>
          <w:sz w:val="21"/>
          <w:szCs w:val="21"/>
        </w:rPr>
        <w:t>环境条件</w:t>
      </w:r>
      <w:bookmarkEnd w:id="398"/>
    </w:p>
    <w:p w14:paraId="66ED434E">
      <w:pPr>
        <w:pStyle w:val="13"/>
        <w:wordWrap/>
        <w:spacing w:after="0" w:afterLines="0" w:line="240" w:lineRule="auto"/>
        <w:ind w:firstLine="420" w:firstLineChars="200"/>
        <w:rPr>
          <w:rFonts w:hint="eastAsia"/>
          <w:color w:val="auto"/>
          <w:sz w:val="21"/>
          <w:szCs w:val="21"/>
          <w:lang w:val="fr-FR"/>
        </w:rPr>
      </w:pPr>
      <w:r>
        <w:rPr>
          <w:rFonts w:hint="eastAsia"/>
          <w:color w:val="auto"/>
          <w:sz w:val="21"/>
          <w:szCs w:val="21"/>
          <w:lang w:val="fr-FR"/>
        </w:rPr>
        <w:t>3.1.1</w:t>
      </w:r>
      <w:r>
        <w:rPr>
          <w:color w:val="auto"/>
          <w:sz w:val="21"/>
          <w:szCs w:val="21"/>
          <w:lang w:val="fr-FR"/>
        </w:rPr>
        <w:t xml:space="preserve">  </w:t>
      </w:r>
      <w:r>
        <w:rPr>
          <w:rFonts w:hint="eastAsia"/>
          <w:color w:val="auto"/>
          <w:sz w:val="21"/>
          <w:szCs w:val="21"/>
          <w:lang w:val="fr-FR"/>
        </w:rPr>
        <w:t>工作环境温度：车站室内设备：－5℃～40℃（SIL4级设备0℃～55℃）；室外设备：－40℃～70℃；存储温度：－40℃～70℃：</w:t>
      </w:r>
    </w:p>
    <w:p w14:paraId="373BE320">
      <w:pPr>
        <w:pStyle w:val="11"/>
        <w:ind w:firstLine="420"/>
        <w:rPr>
          <w:rFonts w:hint="eastAsia"/>
          <w:color w:val="auto"/>
          <w:sz w:val="21"/>
          <w:szCs w:val="21"/>
        </w:rPr>
      </w:pPr>
      <w:r>
        <w:rPr>
          <w:rFonts w:hint="eastAsia"/>
          <w:color w:val="auto"/>
          <w:sz w:val="21"/>
          <w:szCs w:val="21"/>
        </w:rPr>
        <w:t>3.1.2</w:t>
      </w:r>
      <w:r>
        <w:rPr>
          <w:color w:val="auto"/>
          <w:sz w:val="21"/>
          <w:szCs w:val="21"/>
        </w:rPr>
        <w:t xml:space="preserve">  </w:t>
      </w:r>
      <w:r>
        <w:rPr>
          <w:rFonts w:hint="eastAsia"/>
          <w:color w:val="auto"/>
          <w:sz w:val="21"/>
          <w:szCs w:val="21"/>
        </w:rPr>
        <w:t>相对湿度：当温度为25℃时，周围空气相对湿度不大于90％。</w:t>
      </w:r>
    </w:p>
    <w:p w14:paraId="0F8509A9">
      <w:pPr>
        <w:pStyle w:val="11"/>
        <w:ind w:firstLine="420"/>
        <w:rPr>
          <w:rFonts w:hint="eastAsia"/>
          <w:color w:val="auto"/>
          <w:sz w:val="21"/>
          <w:szCs w:val="21"/>
        </w:rPr>
      </w:pPr>
      <w:r>
        <w:rPr>
          <w:rFonts w:hint="eastAsia"/>
          <w:color w:val="auto"/>
          <w:sz w:val="21"/>
          <w:szCs w:val="21"/>
        </w:rPr>
        <w:t>3.1.3</w:t>
      </w:r>
      <w:r>
        <w:rPr>
          <w:color w:val="auto"/>
          <w:sz w:val="21"/>
          <w:szCs w:val="21"/>
        </w:rPr>
        <w:t xml:space="preserve">  </w:t>
      </w:r>
      <w:r>
        <w:rPr>
          <w:rFonts w:hint="eastAsia"/>
          <w:color w:val="auto"/>
          <w:sz w:val="21"/>
          <w:szCs w:val="21"/>
        </w:rPr>
        <w:t>隧道洞室内风压：10kPa。</w:t>
      </w:r>
    </w:p>
    <w:p w14:paraId="7DD0535C">
      <w:pPr>
        <w:pStyle w:val="12"/>
        <w:rPr>
          <w:rFonts w:hint="eastAsia"/>
          <w:color w:val="auto"/>
          <w:kern w:val="2"/>
          <w:sz w:val="21"/>
          <w:szCs w:val="21"/>
        </w:rPr>
      </w:pPr>
      <w:bookmarkStart w:id="399" w:name="_Toc8622"/>
      <w:r>
        <w:rPr>
          <w:rFonts w:hint="eastAsia"/>
          <w:color w:val="auto"/>
          <w:kern w:val="2"/>
          <w:sz w:val="21"/>
          <w:szCs w:val="21"/>
        </w:rPr>
        <w:t>3.2</w:t>
      </w:r>
      <w:r>
        <w:rPr>
          <w:color w:val="auto"/>
          <w:sz w:val="21"/>
          <w:szCs w:val="21"/>
        </w:rPr>
        <w:t xml:space="preserve">  </w:t>
      </w:r>
      <w:r>
        <w:rPr>
          <w:rFonts w:hint="eastAsia"/>
          <w:color w:val="auto"/>
          <w:kern w:val="2"/>
          <w:sz w:val="21"/>
          <w:szCs w:val="21"/>
        </w:rPr>
        <w:t>工作电源</w:t>
      </w:r>
      <w:bookmarkEnd w:id="399"/>
    </w:p>
    <w:p w14:paraId="3C1AEEC0">
      <w:pPr>
        <w:ind w:firstLine="420" w:firstLineChars="200"/>
        <w:rPr>
          <w:color w:val="auto"/>
          <w:sz w:val="21"/>
          <w:szCs w:val="21"/>
          <w:lang w:val="fr-FR"/>
        </w:rPr>
      </w:pPr>
      <w:r>
        <w:rPr>
          <w:rFonts w:hint="eastAsia"/>
          <w:color w:val="auto"/>
          <w:sz w:val="21"/>
          <w:szCs w:val="21"/>
          <w:lang w:val="fr-FR"/>
        </w:rPr>
        <w:t>1）直流电源：</w:t>
      </w:r>
      <w:r>
        <w:rPr>
          <w:color w:val="auto"/>
          <w:sz w:val="21"/>
          <w:szCs w:val="21"/>
          <w:lang w:val="fr-FR"/>
        </w:rPr>
        <w:t xml:space="preserve"> </w:t>
      </w:r>
      <w:r>
        <w:rPr>
          <w:rFonts w:hint="eastAsia"/>
          <w:color w:val="auto"/>
          <w:sz w:val="21"/>
          <w:szCs w:val="21"/>
          <w:lang w:val="fr-FR"/>
        </w:rPr>
        <w:t>基础直流电压为</w:t>
      </w:r>
      <w:r>
        <w:rPr>
          <w:color w:val="auto"/>
          <w:sz w:val="21"/>
          <w:szCs w:val="21"/>
          <w:lang w:val="fr-FR"/>
        </w:rPr>
        <w:t>-48V</w:t>
      </w:r>
      <w:r>
        <w:rPr>
          <w:rFonts w:hint="eastAsia"/>
          <w:color w:val="auto"/>
          <w:sz w:val="21"/>
          <w:szCs w:val="21"/>
          <w:lang w:val="fr-FR"/>
        </w:rPr>
        <w:t>，电压波动范围为</w:t>
      </w:r>
      <w:r>
        <w:rPr>
          <w:color w:val="auto"/>
          <w:sz w:val="21"/>
          <w:szCs w:val="21"/>
          <w:lang w:val="fr-FR"/>
        </w:rPr>
        <w:t>-40V</w:t>
      </w:r>
      <w:r>
        <w:rPr>
          <w:rFonts w:hint="eastAsia"/>
          <w:color w:val="auto"/>
          <w:sz w:val="21"/>
          <w:szCs w:val="21"/>
          <w:lang w:val="fr-FR"/>
        </w:rPr>
        <w:t>～</w:t>
      </w:r>
      <w:r>
        <w:rPr>
          <w:color w:val="auto"/>
          <w:sz w:val="21"/>
          <w:szCs w:val="21"/>
          <w:lang w:val="fr-FR"/>
        </w:rPr>
        <w:t>-57V</w:t>
      </w:r>
      <w:r>
        <w:rPr>
          <w:rFonts w:hint="eastAsia"/>
          <w:color w:val="auto"/>
          <w:sz w:val="21"/>
          <w:szCs w:val="21"/>
          <w:lang w:val="fr-FR"/>
        </w:rPr>
        <w:t>，正极接地。</w:t>
      </w:r>
    </w:p>
    <w:p w14:paraId="70461F2D">
      <w:pPr>
        <w:ind w:firstLine="420" w:firstLineChars="200"/>
        <w:rPr>
          <w:color w:val="auto"/>
          <w:sz w:val="21"/>
          <w:szCs w:val="21"/>
          <w:lang w:val="fr-FR"/>
        </w:rPr>
      </w:pPr>
      <w:r>
        <w:rPr>
          <w:color w:val="auto"/>
          <w:sz w:val="21"/>
          <w:szCs w:val="21"/>
          <w:lang w:val="fr-FR"/>
        </w:rPr>
        <w:t>2</w:t>
      </w:r>
      <w:r>
        <w:rPr>
          <w:rFonts w:hint="eastAsia"/>
          <w:color w:val="auto"/>
          <w:sz w:val="21"/>
          <w:szCs w:val="21"/>
          <w:lang w:val="fr-FR"/>
        </w:rPr>
        <w:t>）交流电源</w:t>
      </w:r>
      <w:r>
        <w:rPr>
          <w:color w:val="auto"/>
          <w:sz w:val="21"/>
          <w:szCs w:val="21"/>
          <w:lang w:val="fr-FR"/>
        </w:rPr>
        <w:t>：</w:t>
      </w:r>
      <w:r>
        <w:rPr>
          <w:rFonts w:hint="eastAsia"/>
          <w:color w:val="auto"/>
          <w:sz w:val="21"/>
          <w:szCs w:val="21"/>
          <w:lang w:val="fr-FR"/>
        </w:rPr>
        <w:t>基础交流电压为</w:t>
      </w:r>
      <w:r>
        <w:rPr>
          <w:color w:val="auto"/>
          <w:sz w:val="21"/>
          <w:szCs w:val="21"/>
          <w:lang w:val="fr-FR"/>
        </w:rPr>
        <w:t>220V</w:t>
      </w:r>
      <w:r>
        <w:rPr>
          <w:rFonts w:hint="eastAsia"/>
          <w:color w:val="auto"/>
          <w:sz w:val="21"/>
          <w:szCs w:val="21"/>
          <w:lang w:val="fr-FR"/>
        </w:rPr>
        <w:t>，电压波动范围为</w:t>
      </w:r>
      <w:r>
        <w:rPr>
          <w:color w:val="auto"/>
          <w:sz w:val="21"/>
          <w:szCs w:val="21"/>
          <w:lang w:val="fr-FR"/>
        </w:rPr>
        <w:t>187V</w:t>
      </w:r>
      <w:r>
        <w:rPr>
          <w:rFonts w:hint="eastAsia"/>
          <w:color w:val="auto"/>
          <w:sz w:val="21"/>
          <w:szCs w:val="21"/>
          <w:lang w:val="fr-FR"/>
        </w:rPr>
        <w:t>～</w:t>
      </w:r>
      <w:r>
        <w:rPr>
          <w:color w:val="auto"/>
          <w:sz w:val="21"/>
          <w:szCs w:val="21"/>
          <w:lang w:val="fr-FR"/>
        </w:rPr>
        <w:t>242V</w:t>
      </w:r>
      <w:r>
        <w:rPr>
          <w:rFonts w:hint="eastAsia"/>
          <w:color w:val="auto"/>
          <w:sz w:val="21"/>
          <w:szCs w:val="21"/>
          <w:lang w:val="fr-FR"/>
        </w:rPr>
        <w:t>。</w:t>
      </w:r>
    </w:p>
    <w:p w14:paraId="4D2702F9">
      <w:pPr>
        <w:ind w:firstLine="420" w:firstLineChars="200"/>
        <w:rPr>
          <w:color w:val="auto"/>
          <w:sz w:val="21"/>
          <w:szCs w:val="21"/>
          <w:lang w:val="fr-FR"/>
        </w:rPr>
      </w:pPr>
      <w:r>
        <w:rPr>
          <w:color w:val="auto"/>
          <w:sz w:val="21"/>
          <w:szCs w:val="21"/>
          <w:lang w:val="fr-FR"/>
        </w:rPr>
        <w:t>3</w:t>
      </w:r>
      <w:r>
        <w:rPr>
          <w:rFonts w:hint="eastAsia"/>
          <w:color w:val="auto"/>
          <w:sz w:val="21"/>
          <w:szCs w:val="21"/>
          <w:lang w:val="fr-FR"/>
        </w:rPr>
        <w:t>）设备电源线及地线颜色应符合如下要求：</w:t>
      </w:r>
    </w:p>
    <w:p w14:paraId="6CA9ED96">
      <w:pPr>
        <w:ind w:firstLine="420" w:firstLineChars="200"/>
        <w:rPr>
          <w:color w:val="auto"/>
          <w:sz w:val="21"/>
          <w:szCs w:val="21"/>
          <w:lang w:val="fr-FR"/>
        </w:rPr>
      </w:pPr>
      <w:r>
        <w:rPr>
          <w:rFonts w:hint="eastAsia"/>
          <w:color w:val="auto"/>
          <w:sz w:val="21"/>
          <w:szCs w:val="21"/>
          <w:lang w:val="fr-FR"/>
        </w:rPr>
        <w:t>交流电缆（线）：</w:t>
      </w:r>
      <w:r>
        <w:rPr>
          <w:color w:val="auto"/>
          <w:sz w:val="21"/>
          <w:szCs w:val="21"/>
          <w:lang w:val="fr-FR"/>
        </w:rPr>
        <w:t>A</w:t>
      </w:r>
      <w:r>
        <w:rPr>
          <w:rFonts w:hint="eastAsia"/>
          <w:color w:val="auto"/>
          <w:sz w:val="21"/>
          <w:szCs w:val="21"/>
          <w:lang w:val="fr-FR"/>
        </w:rPr>
        <w:t>相黄色，</w:t>
      </w:r>
      <w:r>
        <w:rPr>
          <w:color w:val="auto"/>
          <w:sz w:val="21"/>
          <w:szCs w:val="21"/>
          <w:lang w:val="fr-FR"/>
        </w:rPr>
        <w:t>B</w:t>
      </w:r>
      <w:r>
        <w:rPr>
          <w:rFonts w:hint="eastAsia"/>
          <w:color w:val="auto"/>
          <w:sz w:val="21"/>
          <w:szCs w:val="21"/>
          <w:lang w:val="fr-FR"/>
        </w:rPr>
        <w:t>相绿色，</w:t>
      </w:r>
      <w:r>
        <w:rPr>
          <w:color w:val="auto"/>
          <w:sz w:val="21"/>
          <w:szCs w:val="21"/>
          <w:lang w:val="fr-FR"/>
        </w:rPr>
        <w:t>C</w:t>
      </w:r>
      <w:r>
        <w:rPr>
          <w:rFonts w:hint="eastAsia"/>
          <w:color w:val="auto"/>
          <w:sz w:val="21"/>
          <w:szCs w:val="21"/>
          <w:lang w:val="fr-FR"/>
        </w:rPr>
        <w:t>相红色，零线天蓝色或黑色，保护地线黄绿双色。直流电缆（线）：正极红色，负极蓝色。</w:t>
      </w:r>
    </w:p>
    <w:bookmarkEnd w:id="394"/>
    <w:bookmarkEnd w:id="395"/>
    <w:bookmarkEnd w:id="396"/>
    <w:p w14:paraId="4E0C793F">
      <w:pPr>
        <w:pStyle w:val="8"/>
        <w:rPr>
          <w:rFonts w:hint="eastAsia"/>
          <w:color w:val="auto"/>
          <w:kern w:val="2"/>
          <w:sz w:val="21"/>
          <w:szCs w:val="21"/>
        </w:rPr>
      </w:pPr>
      <w:bookmarkStart w:id="400" w:name="_Toc406330044"/>
      <w:bookmarkStart w:id="401" w:name="_Toc406327271"/>
      <w:bookmarkStart w:id="402" w:name="_Toc15665"/>
      <w:r>
        <w:rPr>
          <w:color w:val="auto"/>
          <w:kern w:val="2"/>
          <w:sz w:val="21"/>
          <w:szCs w:val="21"/>
        </w:rPr>
        <w:t>4.</w:t>
      </w:r>
      <w:r>
        <w:rPr>
          <w:rFonts w:hint="eastAsia"/>
          <w:color w:val="auto"/>
          <w:kern w:val="2"/>
          <w:sz w:val="21"/>
          <w:szCs w:val="21"/>
        </w:rPr>
        <w:t>工程界面</w:t>
      </w:r>
      <w:bookmarkEnd w:id="397"/>
      <w:bookmarkEnd w:id="400"/>
      <w:bookmarkEnd w:id="401"/>
      <w:bookmarkEnd w:id="402"/>
    </w:p>
    <w:p w14:paraId="4F943323">
      <w:pPr>
        <w:pStyle w:val="13"/>
        <w:wordWrap/>
        <w:spacing w:after="0" w:afterLines="0" w:line="240" w:lineRule="auto"/>
        <w:ind w:firstLine="420" w:firstLineChars="200"/>
        <w:rPr>
          <w:rFonts w:hint="eastAsia"/>
          <w:color w:val="auto"/>
          <w:sz w:val="21"/>
          <w:szCs w:val="21"/>
          <w:lang w:val="fr-FR"/>
        </w:rPr>
      </w:pPr>
      <w:r>
        <w:rPr>
          <w:rFonts w:hint="eastAsia"/>
          <w:color w:val="auto"/>
          <w:sz w:val="21"/>
          <w:szCs w:val="21"/>
        </w:rPr>
        <w:t>4</w:t>
      </w:r>
      <w:r>
        <w:rPr>
          <w:color w:val="auto"/>
          <w:sz w:val="21"/>
          <w:szCs w:val="21"/>
        </w:rPr>
        <w:t xml:space="preserve">.1  </w:t>
      </w:r>
      <w:r>
        <w:rPr>
          <w:rFonts w:hint="eastAsia"/>
          <w:color w:val="auto"/>
          <w:sz w:val="21"/>
          <w:szCs w:val="21"/>
          <w:lang w:val="fr-FR"/>
        </w:rPr>
        <w:t>投标人应提供系统组成所需的全部设备和安装件，满足通信技术平台要求，保障系统的完整性，保障系统能够通过试运行、验收开通等要求。</w:t>
      </w:r>
    </w:p>
    <w:p w14:paraId="037AA9F9">
      <w:pPr>
        <w:pStyle w:val="13"/>
        <w:wordWrap/>
        <w:spacing w:after="0" w:afterLines="0" w:line="240" w:lineRule="auto"/>
        <w:ind w:firstLine="420" w:firstLineChars="200"/>
        <w:rPr>
          <w:rFonts w:hint="eastAsia"/>
          <w:color w:val="auto"/>
          <w:sz w:val="21"/>
          <w:szCs w:val="21"/>
        </w:rPr>
      </w:pPr>
      <w:r>
        <w:rPr>
          <w:rFonts w:hint="eastAsia"/>
          <w:color w:val="auto"/>
          <w:sz w:val="21"/>
          <w:szCs w:val="21"/>
          <w:lang w:val="fr-FR"/>
        </w:rPr>
        <w:t>4</w:t>
      </w:r>
      <w:r>
        <w:rPr>
          <w:color w:val="auto"/>
          <w:sz w:val="21"/>
          <w:szCs w:val="21"/>
          <w:lang w:val="fr-FR"/>
        </w:rPr>
        <w:t>.</w:t>
      </w:r>
      <w:r>
        <w:rPr>
          <w:rFonts w:hint="eastAsia"/>
          <w:color w:val="auto"/>
          <w:sz w:val="21"/>
          <w:szCs w:val="21"/>
          <w:lang w:val="fr-FR"/>
        </w:rPr>
        <w:t>2</w:t>
      </w:r>
      <w:r>
        <w:rPr>
          <w:color w:val="auto"/>
          <w:sz w:val="21"/>
          <w:szCs w:val="21"/>
          <w:lang w:val="fr-FR"/>
        </w:rPr>
        <w:t xml:space="preserve">  </w:t>
      </w:r>
      <w:r>
        <w:rPr>
          <w:rFonts w:hint="eastAsia"/>
          <w:color w:val="auto"/>
          <w:sz w:val="21"/>
          <w:szCs w:val="21"/>
          <w:lang w:val="fr-FR"/>
        </w:rPr>
        <w:t>本工程设备的内部配线及与其它设备（列头柜、DDF架、电源柜等）连接所需线缆及相应接头（同轴电缆、配线电缆、电源线、告警线、网管线、跳线、接头、终端负载等）均由投标人提供。室内线缆满足阻燃要求，并具备低烟无卤性能，所供各种线缆的技术性能应符合国际、国内相关的行业技术标准。</w:t>
      </w:r>
    </w:p>
    <w:p w14:paraId="13D76A49">
      <w:pPr>
        <w:pStyle w:val="8"/>
        <w:rPr>
          <w:rFonts w:hint="eastAsia"/>
          <w:color w:val="auto"/>
          <w:kern w:val="2"/>
          <w:sz w:val="21"/>
          <w:szCs w:val="21"/>
        </w:rPr>
      </w:pPr>
      <w:bookmarkStart w:id="403" w:name="_Toc435523918"/>
      <w:bookmarkEnd w:id="403"/>
      <w:bookmarkStart w:id="404" w:name="_Toc436830397"/>
      <w:bookmarkEnd w:id="404"/>
      <w:bookmarkStart w:id="405" w:name="_Toc435524150"/>
      <w:bookmarkEnd w:id="405"/>
      <w:bookmarkStart w:id="406" w:name="_Toc435524125"/>
      <w:bookmarkEnd w:id="406"/>
      <w:bookmarkStart w:id="407" w:name="_Toc435523923"/>
      <w:bookmarkEnd w:id="407"/>
      <w:bookmarkStart w:id="408" w:name="_Toc435524140"/>
      <w:bookmarkEnd w:id="408"/>
      <w:bookmarkStart w:id="409" w:name="_Toc436830372"/>
      <w:bookmarkEnd w:id="409"/>
      <w:bookmarkStart w:id="410" w:name="_Toc435523908"/>
      <w:bookmarkEnd w:id="410"/>
      <w:bookmarkStart w:id="411" w:name="_Toc435523933"/>
      <w:bookmarkEnd w:id="411"/>
      <w:bookmarkStart w:id="412" w:name="_Toc436830362"/>
      <w:bookmarkEnd w:id="412"/>
      <w:bookmarkStart w:id="413" w:name="_Toc435524145"/>
      <w:bookmarkEnd w:id="413"/>
      <w:bookmarkStart w:id="414" w:name="_Toc436830382"/>
      <w:bookmarkEnd w:id="414"/>
      <w:bookmarkStart w:id="415" w:name="_Toc435524130"/>
      <w:bookmarkEnd w:id="415"/>
      <w:bookmarkStart w:id="416" w:name="_Toc435523913"/>
      <w:bookmarkEnd w:id="416"/>
      <w:bookmarkStart w:id="417" w:name="_Toc435525118"/>
      <w:bookmarkEnd w:id="417"/>
      <w:bookmarkStart w:id="418" w:name="_Toc435525133"/>
      <w:bookmarkEnd w:id="418"/>
      <w:bookmarkStart w:id="419" w:name="_Toc436830367"/>
      <w:bookmarkEnd w:id="419"/>
      <w:bookmarkStart w:id="420" w:name="_Toc436830392"/>
      <w:bookmarkEnd w:id="420"/>
      <w:bookmarkStart w:id="421" w:name="_Toc435525143"/>
      <w:bookmarkEnd w:id="421"/>
      <w:bookmarkStart w:id="422" w:name="_Toc435525108"/>
      <w:bookmarkEnd w:id="422"/>
      <w:bookmarkStart w:id="423" w:name="_Toc435524120"/>
      <w:bookmarkEnd w:id="423"/>
      <w:bookmarkStart w:id="424" w:name="_Toc435523928"/>
      <w:bookmarkEnd w:id="424"/>
      <w:bookmarkStart w:id="425" w:name="_Toc436830387"/>
      <w:bookmarkEnd w:id="425"/>
      <w:bookmarkStart w:id="426" w:name="_Toc435523938"/>
      <w:bookmarkEnd w:id="426"/>
      <w:bookmarkStart w:id="427" w:name="_Toc435524115"/>
      <w:bookmarkEnd w:id="427"/>
      <w:bookmarkStart w:id="428" w:name="_Toc435525123"/>
      <w:bookmarkEnd w:id="428"/>
      <w:bookmarkStart w:id="429" w:name="_Toc435525128"/>
      <w:bookmarkEnd w:id="429"/>
      <w:bookmarkStart w:id="430" w:name="_Toc436830377"/>
      <w:bookmarkEnd w:id="430"/>
      <w:bookmarkStart w:id="431" w:name="_Toc435523903"/>
      <w:bookmarkEnd w:id="431"/>
      <w:bookmarkStart w:id="432" w:name="_Toc435524135"/>
      <w:bookmarkEnd w:id="432"/>
      <w:bookmarkStart w:id="433" w:name="_Toc435525138"/>
      <w:bookmarkEnd w:id="433"/>
      <w:bookmarkStart w:id="434" w:name="_Toc435525113"/>
      <w:bookmarkEnd w:id="434"/>
      <w:bookmarkStart w:id="435" w:name="_Toc373152534"/>
      <w:bookmarkStart w:id="436" w:name="_Toc406330045"/>
      <w:bookmarkStart w:id="437" w:name="_Toc406327272"/>
      <w:bookmarkStart w:id="438" w:name="_Toc380564937"/>
      <w:bookmarkStart w:id="439" w:name="_Toc30782"/>
      <w:r>
        <w:rPr>
          <w:color w:val="auto"/>
          <w:kern w:val="2"/>
          <w:sz w:val="21"/>
          <w:szCs w:val="21"/>
        </w:rPr>
        <w:t>5.</w:t>
      </w:r>
      <w:r>
        <w:rPr>
          <w:rFonts w:hint="eastAsia"/>
          <w:color w:val="auto"/>
          <w:kern w:val="2"/>
          <w:sz w:val="21"/>
          <w:szCs w:val="21"/>
        </w:rPr>
        <w:t>设备设计准则</w:t>
      </w:r>
      <w:bookmarkEnd w:id="435"/>
      <w:bookmarkEnd w:id="436"/>
      <w:bookmarkEnd w:id="437"/>
      <w:bookmarkEnd w:id="438"/>
      <w:bookmarkEnd w:id="439"/>
    </w:p>
    <w:p w14:paraId="4A15282B">
      <w:pPr>
        <w:pStyle w:val="13"/>
        <w:wordWrap/>
        <w:spacing w:after="0" w:afterLines="0" w:line="240" w:lineRule="auto"/>
        <w:ind w:firstLine="420" w:firstLineChars="200"/>
        <w:rPr>
          <w:rFonts w:hint="eastAsia"/>
          <w:color w:val="auto"/>
          <w:sz w:val="21"/>
          <w:szCs w:val="21"/>
          <w:lang w:val="fr-FR"/>
        </w:rPr>
      </w:pPr>
      <w:r>
        <w:rPr>
          <w:rFonts w:hint="eastAsia"/>
          <w:color w:val="auto"/>
          <w:sz w:val="21"/>
          <w:szCs w:val="21"/>
          <w:lang w:val="fr-FR"/>
        </w:rPr>
        <w:t>所提供通信系统设备的设计均应符合有关工业控制产品的设计标准，包括但不仅限于以下设计准则：</w:t>
      </w:r>
    </w:p>
    <w:p w14:paraId="28B2D58F">
      <w:pPr>
        <w:pStyle w:val="13"/>
        <w:wordWrap/>
        <w:spacing w:after="0" w:afterLines="0" w:line="240" w:lineRule="auto"/>
        <w:ind w:firstLine="420" w:firstLineChars="200"/>
        <w:rPr>
          <w:rFonts w:hint="eastAsia"/>
          <w:color w:val="auto"/>
          <w:sz w:val="21"/>
          <w:szCs w:val="21"/>
          <w:lang w:val="fr-FR"/>
        </w:rPr>
      </w:pPr>
      <w:r>
        <w:rPr>
          <w:rFonts w:hint="eastAsia"/>
          <w:color w:val="auto"/>
          <w:sz w:val="21"/>
          <w:szCs w:val="21"/>
          <w:lang w:val="fr-FR"/>
        </w:rPr>
        <w:t>5.1</w:t>
      </w:r>
      <w:r>
        <w:rPr>
          <w:color w:val="auto"/>
          <w:sz w:val="21"/>
          <w:szCs w:val="21"/>
          <w:lang w:val="fr-FR"/>
        </w:rPr>
        <w:t xml:space="preserve">  </w:t>
      </w:r>
      <w:r>
        <w:rPr>
          <w:rFonts w:hint="eastAsia"/>
          <w:color w:val="auto"/>
          <w:sz w:val="21"/>
          <w:szCs w:val="21"/>
          <w:lang w:val="fr-FR"/>
        </w:rPr>
        <w:t>设备的总体机械结构，应充分考虑安装、维护的方便和扩充容量或调整设备数量的灵活性，实现硬件模块化。应具有足够的机械强度和刚度，设备的安装固定方式应具有防振抗震能力，应保证设备经过常规的运输、储存和安装后，不产生破损变形；</w:t>
      </w:r>
      <w:r>
        <w:rPr>
          <w:color w:val="auto"/>
          <w:sz w:val="21"/>
          <w:szCs w:val="21"/>
          <w:lang w:val="fr-FR"/>
        </w:rPr>
        <w:t>标识系统清晰完整</w:t>
      </w:r>
      <w:r>
        <w:rPr>
          <w:rFonts w:hint="eastAsia"/>
          <w:color w:val="auto"/>
          <w:sz w:val="21"/>
          <w:szCs w:val="21"/>
          <w:lang w:val="fr-FR"/>
        </w:rPr>
        <w:t>。</w:t>
      </w:r>
    </w:p>
    <w:p w14:paraId="6FB7A3EA">
      <w:pPr>
        <w:pStyle w:val="13"/>
        <w:wordWrap/>
        <w:spacing w:after="0" w:afterLines="0" w:line="240" w:lineRule="auto"/>
        <w:ind w:firstLine="420" w:firstLineChars="200"/>
        <w:rPr>
          <w:rFonts w:hint="eastAsia"/>
          <w:color w:val="auto"/>
          <w:sz w:val="21"/>
          <w:szCs w:val="21"/>
          <w:lang w:val="fr-FR"/>
        </w:rPr>
      </w:pPr>
      <w:r>
        <w:rPr>
          <w:rFonts w:hint="eastAsia"/>
          <w:color w:val="auto"/>
          <w:sz w:val="21"/>
          <w:szCs w:val="21"/>
          <w:lang w:val="fr-FR"/>
        </w:rPr>
        <w:t>5.2</w:t>
      </w:r>
      <w:r>
        <w:rPr>
          <w:color w:val="auto"/>
          <w:sz w:val="21"/>
          <w:szCs w:val="21"/>
          <w:lang w:val="fr-FR"/>
        </w:rPr>
        <w:t xml:space="preserve">  </w:t>
      </w:r>
      <w:r>
        <w:rPr>
          <w:rFonts w:hint="eastAsia"/>
          <w:color w:val="auto"/>
          <w:sz w:val="21"/>
          <w:szCs w:val="21"/>
          <w:lang w:val="fr-FR"/>
        </w:rPr>
        <w:t>机柜和机箱应采用国际标准化设计，机架布置应有利于散热通风、有效的防潮、防尘。所有机柜应提供锁匙或扳手等安全措施。</w:t>
      </w:r>
    </w:p>
    <w:p w14:paraId="73184775">
      <w:pPr>
        <w:ind w:firstLine="420" w:firstLineChars="200"/>
        <w:rPr>
          <w:color w:val="auto"/>
          <w:sz w:val="21"/>
          <w:szCs w:val="21"/>
          <w:lang w:val="fr-FR"/>
        </w:rPr>
      </w:pPr>
      <w:r>
        <w:rPr>
          <w:rFonts w:hint="eastAsia"/>
          <w:color w:val="auto"/>
          <w:sz w:val="21"/>
          <w:szCs w:val="21"/>
          <w:lang w:val="fr-FR"/>
        </w:rPr>
        <w:t>5.3</w:t>
      </w:r>
      <w:r>
        <w:rPr>
          <w:color w:val="auto"/>
          <w:sz w:val="21"/>
          <w:szCs w:val="21"/>
          <w:lang w:val="fr-FR"/>
        </w:rPr>
        <w:t xml:space="preserve">  </w:t>
      </w:r>
      <w:r>
        <w:rPr>
          <w:rFonts w:hint="eastAsia"/>
          <w:color w:val="auto"/>
          <w:sz w:val="21"/>
          <w:szCs w:val="21"/>
          <w:lang w:val="fr-FR"/>
        </w:rPr>
        <w:t>钢制机柜、机架、盘及其它支撑结构应经细致清洗和防锈处理，并可经受现场环境条件。机箱和支撑结构应涂底漆并着色，机柜、机架、盘和机箱的颜色应协调。</w:t>
      </w:r>
    </w:p>
    <w:p w14:paraId="057A52A9">
      <w:pPr>
        <w:ind w:firstLine="420" w:firstLineChars="200"/>
        <w:rPr>
          <w:color w:val="auto"/>
          <w:sz w:val="21"/>
          <w:szCs w:val="21"/>
          <w:lang w:val="fr-FR"/>
        </w:rPr>
      </w:pPr>
      <w:r>
        <w:rPr>
          <w:rFonts w:hint="eastAsia"/>
          <w:color w:val="auto"/>
          <w:sz w:val="21"/>
          <w:szCs w:val="21"/>
          <w:lang w:val="fr-FR"/>
        </w:rPr>
        <w:t>印刷电路板插接件应接触可靠，易于插、拔，结构结实，不产生机械变形，并有插错保护措施。</w:t>
      </w:r>
    </w:p>
    <w:p w14:paraId="40C1DA50">
      <w:pPr>
        <w:pStyle w:val="13"/>
        <w:wordWrap/>
        <w:spacing w:after="0" w:afterLines="0" w:line="240" w:lineRule="auto"/>
        <w:ind w:firstLine="420" w:firstLineChars="200"/>
        <w:rPr>
          <w:rFonts w:hint="eastAsia"/>
          <w:color w:val="auto"/>
          <w:sz w:val="21"/>
          <w:szCs w:val="21"/>
          <w:lang w:val="fr-FR"/>
        </w:rPr>
      </w:pPr>
      <w:r>
        <w:rPr>
          <w:rFonts w:hint="eastAsia"/>
          <w:color w:val="auto"/>
          <w:sz w:val="21"/>
          <w:szCs w:val="21"/>
          <w:lang w:val="fr-FR"/>
        </w:rPr>
        <w:t>5.4</w:t>
      </w:r>
      <w:r>
        <w:rPr>
          <w:color w:val="auto"/>
          <w:sz w:val="21"/>
          <w:szCs w:val="21"/>
          <w:lang w:val="fr-FR"/>
        </w:rPr>
        <w:t xml:space="preserve">  </w:t>
      </w:r>
      <w:r>
        <w:rPr>
          <w:rFonts w:hint="eastAsia"/>
          <w:color w:val="auto"/>
          <w:sz w:val="21"/>
          <w:szCs w:val="21"/>
          <w:lang w:val="fr-FR"/>
        </w:rPr>
        <w:t>每一印刷电路板均应有电路名称识别标志，集成电路插件、电阻、电容等电气元件应有识别标志。所有文字符号及标志应与所提供资料、图纸完全一致。电路板应提供中文标识。</w:t>
      </w:r>
    </w:p>
    <w:p w14:paraId="67E0FC63">
      <w:pPr>
        <w:pStyle w:val="13"/>
        <w:wordWrap/>
        <w:spacing w:after="0" w:afterLines="0" w:line="240" w:lineRule="auto"/>
        <w:ind w:firstLine="420" w:firstLineChars="200"/>
        <w:rPr>
          <w:rFonts w:hint="eastAsia"/>
          <w:color w:val="auto"/>
          <w:sz w:val="21"/>
          <w:szCs w:val="21"/>
          <w:lang w:val="fr-FR"/>
        </w:rPr>
      </w:pPr>
      <w:r>
        <w:rPr>
          <w:rFonts w:hint="eastAsia"/>
          <w:color w:val="auto"/>
          <w:sz w:val="21"/>
          <w:szCs w:val="21"/>
          <w:lang w:val="fr-FR"/>
        </w:rPr>
        <w:t>5.5</w:t>
      </w:r>
      <w:r>
        <w:rPr>
          <w:color w:val="auto"/>
          <w:sz w:val="21"/>
          <w:szCs w:val="21"/>
          <w:lang w:val="fr-FR"/>
        </w:rPr>
        <w:t xml:space="preserve">  </w:t>
      </w:r>
      <w:r>
        <w:rPr>
          <w:rFonts w:hint="eastAsia"/>
          <w:color w:val="auto"/>
          <w:sz w:val="21"/>
          <w:szCs w:val="21"/>
          <w:lang w:val="fr-FR"/>
        </w:rPr>
        <w:t>所供设备机架应为标准机架，机架不装单元框的空位置应加装盖板。除壁挂式设备外，通信站和中间站（区间）的设备机架高度本工程统一按2.2m考虑，设备机架要求带底座（底座高度根据工程需要可调）。设备机机柜厚度均按</w:t>
      </w:r>
      <w:r>
        <w:rPr>
          <w:color w:val="auto"/>
          <w:sz w:val="21"/>
          <w:szCs w:val="21"/>
          <w:lang w:val="fr-FR"/>
        </w:rPr>
        <w:t>600mm；机柜宽度统一按600mm考虑。投标人应详细说明所提供设备的物理尺寸参数（高×宽×深，单位mm）。投标人提供的设备机架应能上、下进线，前、后开门，左、右侧布线。所供设备机架尺寸、颜色、标签等需满足工程在设计联络中提出的统一要求（投标人需要提供方案供招标人选择并确认）。</w:t>
      </w:r>
    </w:p>
    <w:p w14:paraId="3D3F4D30">
      <w:pPr>
        <w:pStyle w:val="8"/>
        <w:rPr>
          <w:rFonts w:hint="eastAsia"/>
          <w:color w:val="auto"/>
          <w:kern w:val="2"/>
          <w:sz w:val="21"/>
          <w:szCs w:val="21"/>
        </w:rPr>
      </w:pPr>
      <w:bookmarkStart w:id="440" w:name="_Toc436830422"/>
      <w:bookmarkEnd w:id="440"/>
      <w:bookmarkStart w:id="441" w:name="_Toc435523942"/>
      <w:bookmarkEnd w:id="441"/>
      <w:bookmarkStart w:id="442" w:name="_Toc435523957"/>
      <w:bookmarkEnd w:id="442"/>
      <w:bookmarkStart w:id="443" w:name="_Toc435523955"/>
      <w:bookmarkEnd w:id="443"/>
      <w:bookmarkStart w:id="444" w:name="_Toc435524169"/>
      <w:bookmarkEnd w:id="444"/>
      <w:bookmarkStart w:id="445" w:name="_Toc435523961"/>
      <w:bookmarkEnd w:id="445"/>
      <w:bookmarkStart w:id="446" w:name="_Toc435523959"/>
      <w:bookmarkEnd w:id="446"/>
      <w:bookmarkStart w:id="447" w:name="_Toc435525165"/>
      <w:bookmarkEnd w:id="447"/>
      <w:bookmarkStart w:id="448" w:name="_Toc436830403"/>
      <w:bookmarkEnd w:id="448"/>
      <w:bookmarkStart w:id="449" w:name="_Toc435525164"/>
      <w:bookmarkEnd w:id="449"/>
      <w:bookmarkStart w:id="450" w:name="_Toc435523949"/>
      <w:bookmarkEnd w:id="450"/>
      <w:bookmarkStart w:id="451" w:name="_Toc435524172"/>
      <w:bookmarkEnd w:id="451"/>
      <w:bookmarkStart w:id="452" w:name="_Toc435525168"/>
      <w:bookmarkEnd w:id="452"/>
      <w:bookmarkStart w:id="453" w:name="_Toc436830420"/>
      <w:bookmarkEnd w:id="453"/>
      <w:bookmarkStart w:id="454" w:name="_Toc435524154"/>
      <w:bookmarkEnd w:id="454"/>
      <w:bookmarkStart w:id="455" w:name="_Toc435524164"/>
      <w:bookmarkEnd w:id="455"/>
      <w:bookmarkStart w:id="456" w:name="_Toc435523943"/>
      <w:bookmarkEnd w:id="456"/>
      <w:bookmarkStart w:id="457" w:name="_Toc435524153"/>
      <w:bookmarkEnd w:id="457"/>
      <w:bookmarkStart w:id="458" w:name="_Toc436830412"/>
      <w:bookmarkEnd w:id="458"/>
      <w:bookmarkStart w:id="459" w:name="_Toc435523963"/>
      <w:bookmarkEnd w:id="459"/>
      <w:bookmarkStart w:id="460" w:name="_Toc435525149"/>
      <w:bookmarkEnd w:id="460"/>
      <w:bookmarkStart w:id="461" w:name="_Toc435525158"/>
      <w:bookmarkEnd w:id="461"/>
      <w:bookmarkStart w:id="462" w:name="_Toc436830408"/>
      <w:bookmarkEnd w:id="462"/>
      <w:bookmarkStart w:id="463" w:name="_Toc435525159"/>
      <w:bookmarkEnd w:id="463"/>
      <w:bookmarkStart w:id="464" w:name="_Toc436830407"/>
      <w:bookmarkEnd w:id="464"/>
      <w:bookmarkStart w:id="465" w:name="_Toc435523941"/>
      <w:bookmarkEnd w:id="465"/>
      <w:bookmarkStart w:id="466" w:name="_Toc436830399"/>
      <w:bookmarkEnd w:id="466"/>
      <w:bookmarkStart w:id="467" w:name="_Toc435525160"/>
      <w:bookmarkEnd w:id="467"/>
      <w:bookmarkStart w:id="468" w:name="_Toc435524166"/>
      <w:bookmarkEnd w:id="468"/>
      <w:bookmarkStart w:id="469" w:name="_Toc435525156"/>
      <w:bookmarkEnd w:id="469"/>
      <w:bookmarkStart w:id="470" w:name="_Toc435524173"/>
      <w:bookmarkEnd w:id="470"/>
      <w:bookmarkStart w:id="471" w:name="_Toc435525155"/>
      <w:bookmarkEnd w:id="471"/>
      <w:bookmarkStart w:id="472" w:name="_Toc435523951"/>
      <w:bookmarkEnd w:id="472"/>
      <w:bookmarkStart w:id="473" w:name="_Toc435524162"/>
      <w:bookmarkEnd w:id="473"/>
      <w:bookmarkStart w:id="474" w:name="_Toc435524171"/>
      <w:bookmarkEnd w:id="474"/>
      <w:bookmarkStart w:id="475" w:name="_Toc435524174"/>
      <w:bookmarkEnd w:id="475"/>
      <w:bookmarkStart w:id="476" w:name="_Toc435525153"/>
      <w:bookmarkEnd w:id="476"/>
      <w:bookmarkStart w:id="477" w:name="_Toc435524168"/>
      <w:bookmarkEnd w:id="477"/>
      <w:bookmarkStart w:id="478" w:name="_Toc435525166"/>
      <w:bookmarkEnd w:id="478"/>
      <w:bookmarkStart w:id="479" w:name="_Toc435524158"/>
      <w:bookmarkEnd w:id="479"/>
      <w:bookmarkStart w:id="480" w:name="_Toc435525161"/>
      <w:bookmarkEnd w:id="480"/>
      <w:bookmarkStart w:id="481" w:name="_Toc435524167"/>
      <w:bookmarkEnd w:id="481"/>
      <w:bookmarkStart w:id="482" w:name="_Toc436830419"/>
      <w:bookmarkEnd w:id="482"/>
      <w:bookmarkStart w:id="483" w:name="_Toc435524152"/>
      <w:bookmarkEnd w:id="483"/>
      <w:bookmarkStart w:id="484" w:name="_Toc435523962"/>
      <w:bookmarkEnd w:id="484"/>
      <w:bookmarkStart w:id="485" w:name="_Toc436830404"/>
      <w:bookmarkEnd w:id="485"/>
      <w:bookmarkStart w:id="486" w:name="_Toc435525150"/>
      <w:bookmarkEnd w:id="486"/>
      <w:bookmarkStart w:id="487" w:name="_Toc436830415"/>
      <w:bookmarkEnd w:id="487"/>
      <w:bookmarkStart w:id="488" w:name="_Toc436830418"/>
      <w:bookmarkEnd w:id="488"/>
      <w:bookmarkStart w:id="489" w:name="_Toc435524157"/>
      <w:bookmarkEnd w:id="489"/>
      <w:bookmarkStart w:id="490" w:name="_Toc436830421"/>
      <w:bookmarkEnd w:id="490"/>
      <w:bookmarkStart w:id="491" w:name="_Toc435525146"/>
      <w:bookmarkEnd w:id="491"/>
      <w:bookmarkStart w:id="492" w:name="_Toc435524165"/>
      <w:bookmarkEnd w:id="492"/>
      <w:bookmarkStart w:id="493" w:name="_Toc435523940"/>
      <w:bookmarkEnd w:id="493"/>
      <w:bookmarkStart w:id="494" w:name="_Toc436830406"/>
      <w:bookmarkEnd w:id="494"/>
      <w:bookmarkStart w:id="495" w:name="_Toc435523946"/>
      <w:bookmarkEnd w:id="495"/>
      <w:bookmarkStart w:id="496" w:name="_Toc436830405"/>
      <w:bookmarkEnd w:id="496"/>
      <w:bookmarkStart w:id="497" w:name="_Toc435525154"/>
      <w:bookmarkEnd w:id="497"/>
      <w:bookmarkStart w:id="498" w:name="_Toc435524156"/>
      <w:bookmarkEnd w:id="498"/>
      <w:bookmarkStart w:id="499" w:name="_Toc435524175"/>
      <w:bookmarkEnd w:id="499"/>
      <w:bookmarkStart w:id="500" w:name="_Toc435525163"/>
      <w:bookmarkEnd w:id="500"/>
      <w:bookmarkStart w:id="501" w:name="_Toc436830411"/>
      <w:bookmarkEnd w:id="501"/>
      <w:bookmarkStart w:id="502" w:name="_Toc435523947"/>
      <w:bookmarkEnd w:id="502"/>
      <w:bookmarkStart w:id="503" w:name="_Toc435523956"/>
      <w:bookmarkEnd w:id="503"/>
      <w:bookmarkStart w:id="504" w:name="_Toc435524155"/>
      <w:bookmarkEnd w:id="504"/>
      <w:bookmarkStart w:id="505" w:name="_Toc435525167"/>
      <w:bookmarkEnd w:id="505"/>
      <w:bookmarkStart w:id="506" w:name="_Toc435525145"/>
      <w:bookmarkEnd w:id="506"/>
      <w:bookmarkStart w:id="507" w:name="_Toc435523944"/>
      <w:bookmarkEnd w:id="507"/>
      <w:bookmarkStart w:id="508" w:name="_Toc435523954"/>
      <w:bookmarkEnd w:id="508"/>
      <w:bookmarkStart w:id="509" w:name="_Toc435523953"/>
      <w:bookmarkEnd w:id="509"/>
      <w:bookmarkStart w:id="510" w:name="_Toc435523945"/>
      <w:bookmarkEnd w:id="510"/>
      <w:bookmarkStart w:id="511" w:name="_Toc435523948"/>
      <w:bookmarkEnd w:id="511"/>
      <w:bookmarkStart w:id="512" w:name="_Toc435524161"/>
      <w:bookmarkEnd w:id="512"/>
      <w:bookmarkStart w:id="513" w:name="_Toc436830417"/>
      <w:bookmarkEnd w:id="513"/>
      <w:bookmarkStart w:id="514" w:name="_Toc435525162"/>
      <w:bookmarkEnd w:id="514"/>
      <w:bookmarkStart w:id="515" w:name="_Toc435524170"/>
      <w:bookmarkEnd w:id="515"/>
      <w:bookmarkStart w:id="516" w:name="_Toc435525157"/>
      <w:bookmarkEnd w:id="516"/>
      <w:bookmarkStart w:id="517" w:name="_Toc435524163"/>
      <w:bookmarkEnd w:id="517"/>
      <w:bookmarkStart w:id="518" w:name="_Toc435523952"/>
      <w:bookmarkEnd w:id="518"/>
      <w:bookmarkStart w:id="519" w:name="_Toc436830409"/>
      <w:bookmarkEnd w:id="519"/>
      <w:bookmarkStart w:id="520" w:name="_Toc435525151"/>
      <w:bookmarkEnd w:id="520"/>
      <w:bookmarkStart w:id="521" w:name="_Toc435524160"/>
      <w:bookmarkEnd w:id="521"/>
      <w:bookmarkStart w:id="522" w:name="_Toc435525147"/>
      <w:bookmarkEnd w:id="522"/>
      <w:bookmarkStart w:id="523" w:name="_Toc435524159"/>
      <w:bookmarkEnd w:id="523"/>
      <w:bookmarkStart w:id="524" w:name="_Toc436830402"/>
      <w:bookmarkEnd w:id="524"/>
      <w:bookmarkStart w:id="525" w:name="_Toc435523950"/>
      <w:bookmarkEnd w:id="525"/>
      <w:bookmarkStart w:id="526" w:name="_Toc435525148"/>
      <w:bookmarkEnd w:id="526"/>
      <w:bookmarkStart w:id="527" w:name="_Toc436830414"/>
      <w:bookmarkEnd w:id="527"/>
      <w:bookmarkStart w:id="528" w:name="_Toc435525152"/>
      <w:bookmarkEnd w:id="528"/>
      <w:bookmarkStart w:id="529" w:name="_Toc435523958"/>
      <w:bookmarkEnd w:id="529"/>
      <w:bookmarkStart w:id="530" w:name="_Toc436830416"/>
      <w:bookmarkEnd w:id="530"/>
      <w:bookmarkStart w:id="531" w:name="_Toc436830401"/>
      <w:bookmarkEnd w:id="531"/>
      <w:bookmarkStart w:id="532" w:name="_Toc435523960"/>
      <w:bookmarkEnd w:id="532"/>
      <w:bookmarkStart w:id="533" w:name="_Toc436830410"/>
      <w:bookmarkEnd w:id="533"/>
      <w:bookmarkStart w:id="534" w:name="_Toc436830400"/>
      <w:bookmarkEnd w:id="534"/>
      <w:bookmarkStart w:id="535" w:name="_Toc436830413"/>
      <w:bookmarkEnd w:id="535"/>
      <w:bookmarkStart w:id="536" w:name="_Toc406327274"/>
      <w:bookmarkStart w:id="537" w:name="_Toc406330047"/>
      <w:bookmarkStart w:id="538" w:name="_Toc10888"/>
      <w:r>
        <w:rPr>
          <w:color w:val="auto"/>
          <w:kern w:val="2"/>
          <w:sz w:val="21"/>
          <w:szCs w:val="21"/>
        </w:rPr>
        <w:t>6.</w:t>
      </w:r>
      <w:r>
        <w:rPr>
          <w:rFonts w:hint="eastAsia"/>
          <w:color w:val="auto"/>
          <w:kern w:val="2"/>
          <w:sz w:val="21"/>
          <w:szCs w:val="21"/>
        </w:rPr>
        <w:t>电磁兼容、防雷、接地要求</w:t>
      </w:r>
      <w:bookmarkEnd w:id="536"/>
      <w:bookmarkEnd w:id="537"/>
      <w:bookmarkEnd w:id="538"/>
    </w:p>
    <w:p w14:paraId="40810181">
      <w:pPr>
        <w:pStyle w:val="11"/>
        <w:ind w:firstLine="420"/>
        <w:rPr>
          <w:rFonts w:hint="eastAsia"/>
          <w:color w:val="auto"/>
          <w:sz w:val="21"/>
          <w:szCs w:val="21"/>
        </w:rPr>
      </w:pPr>
      <w:r>
        <w:rPr>
          <w:rFonts w:hint="eastAsia"/>
          <w:color w:val="auto"/>
          <w:sz w:val="21"/>
          <w:szCs w:val="21"/>
        </w:rPr>
        <w:t>6.1</w:t>
      </w:r>
      <w:r>
        <w:rPr>
          <w:color w:val="auto"/>
          <w:sz w:val="21"/>
          <w:szCs w:val="21"/>
        </w:rPr>
        <w:t xml:space="preserve">  </w:t>
      </w:r>
      <w:r>
        <w:rPr>
          <w:rFonts w:hint="eastAsia"/>
          <w:color w:val="auto"/>
          <w:sz w:val="21"/>
          <w:szCs w:val="21"/>
        </w:rPr>
        <w:t>针对工程情况投标人应在技术建议书中提供电磁兼容、防雷、接地解决方案。</w:t>
      </w:r>
    </w:p>
    <w:p w14:paraId="30238E40">
      <w:pPr>
        <w:pStyle w:val="13"/>
        <w:wordWrap/>
        <w:spacing w:after="0" w:afterLines="0" w:line="240" w:lineRule="auto"/>
        <w:ind w:firstLine="420" w:firstLineChars="200"/>
        <w:rPr>
          <w:rFonts w:hint="eastAsia"/>
          <w:color w:val="auto"/>
          <w:sz w:val="21"/>
          <w:szCs w:val="21"/>
          <w:lang w:val="fr-FR"/>
        </w:rPr>
      </w:pPr>
      <w:r>
        <w:rPr>
          <w:rFonts w:hint="eastAsia"/>
          <w:color w:val="auto"/>
          <w:sz w:val="21"/>
          <w:szCs w:val="21"/>
          <w:lang w:val="fr-FR"/>
        </w:rPr>
        <w:t>6.2</w:t>
      </w:r>
      <w:r>
        <w:rPr>
          <w:color w:val="auto"/>
          <w:sz w:val="21"/>
          <w:szCs w:val="21"/>
          <w:lang w:val="fr-FR"/>
        </w:rPr>
        <w:t xml:space="preserve">  </w:t>
      </w:r>
      <w:r>
        <w:rPr>
          <w:rFonts w:hint="eastAsia"/>
          <w:color w:val="auto"/>
          <w:sz w:val="21"/>
          <w:szCs w:val="21"/>
          <w:lang w:val="fr-FR"/>
        </w:rPr>
        <w:t>设备的电磁兼容性及抗电磁干扰应满足IEC-801-2，IEC-801-3和IEC-801-4、《铁路防雷及接地工程技术规范》（</w:t>
      </w:r>
      <w:r>
        <w:rPr>
          <w:color w:val="auto"/>
          <w:sz w:val="21"/>
          <w:szCs w:val="21"/>
          <w:lang w:val="fr-FR"/>
        </w:rPr>
        <w:t>TB 10180-2016</w:t>
      </w:r>
      <w:r>
        <w:rPr>
          <w:rFonts w:hint="eastAsia"/>
          <w:color w:val="auto"/>
          <w:sz w:val="21"/>
          <w:szCs w:val="21"/>
          <w:lang w:val="fr-FR"/>
        </w:rPr>
        <w:t>）、《通信局（站）防雷与接地工程设计规范》（GB 50689-</w:t>
      </w:r>
      <w:r>
        <w:rPr>
          <w:color w:val="auto"/>
          <w:sz w:val="21"/>
          <w:szCs w:val="21"/>
          <w:lang w:val="fr-FR"/>
        </w:rPr>
        <w:t>2011</w:t>
      </w:r>
      <w:r>
        <w:rPr>
          <w:rFonts w:hint="eastAsia"/>
          <w:color w:val="auto"/>
          <w:sz w:val="21"/>
          <w:szCs w:val="21"/>
          <w:lang w:val="fr-FR"/>
        </w:rPr>
        <w:t>）以及相关</w:t>
      </w:r>
      <w:r>
        <w:rPr>
          <w:color w:val="auto"/>
          <w:sz w:val="21"/>
          <w:szCs w:val="21"/>
          <w:lang w:val="fr-FR"/>
        </w:rPr>
        <w:t>标准</w:t>
      </w:r>
      <w:r>
        <w:rPr>
          <w:rFonts w:hint="eastAsia"/>
          <w:color w:val="auto"/>
          <w:sz w:val="21"/>
          <w:szCs w:val="21"/>
          <w:lang w:val="fr-FR"/>
        </w:rPr>
        <w:t>的要求，投标人应提供设备的具体电磁兼容指标、测试方法及测试数据。所供设备应</w:t>
      </w:r>
      <w:r>
        <w:rPr>
          <w:color w:val="auto"/>
          <w:sz w:val="21"/>
          <w:szCs w:val="21"/>
          <w:lang w:val="fr-FR"/>
        </w:rPr>
        <w:t>适应本</w:t>
      </w:r>
      <w:r>
        <w:rPr>
          <w:rFonts w:hint="eastAsia"/>
          <w:color w:val="auto"/>
          <w:sz w:val="21"/>
          <w:szCs w:val="21"/>
          <w:lang w:val="fr-FR"/>
        </w:rPr>
        <w:t>工程</w:t>
      </w:r>
      <w:r>
        <w:rPr>
          <w:color w:val="auto"/>
          <w:sz w:val="21"/>
          <w:szCs w:val="21"/>
          <w:lang w:val="fr-FR"/>
        </w:rPr>
        <w:t>电气化铁路的使用环境</w:t>
      </w:r>
      <w:r>
        <w:rPr>
          <w:rFonts w:hint="eastAsia"/>
          <w:color w:val="auto"/>
          <w:sz w:val="21"/>
          <w:szCs w:val="21"/>
          <w:lang w:val="fr-FR"/>
        </w:rPr>
        <w:t>，具备防铁路电气化干扰的能力。</w:t>
      </w:r>
      <w:bookmarkStart w:id="539" w:name="_Toc406327275"/>
      <w:bookmarkStart w:id="540" w:name="_Toc406330048"/>
    </w:p>
    <w:p w14:paraId="5F1505AA">
      <w:pPr>
        <w:spacing w:before="120"/>
        <w:ind w:firstLine="420" w:firstLineChars="200"/>
        <w:outlineLvl w:val="2"/>
        <w:rPr>
          <w:rFonts w:hint="eastAsia" w:ascii="宋体" w:hAnsi="宋体"/>
          <w:color w:val="auto"/>
          <w:kern w:val="2"/>
          <w:sz w:val="21"/>
          <w:szCs w:val="21"/>
          <w:lang w:val="fr-FR"/>
        </w:rPr>
      </w:pPr>
      <w:bookmarkStart w:id="541" w:name="_Toc1224"/>
      <w:r>
        <w:rPr>
          <w:rFonts w:hint="eastAsia" w:ascii="宋体" w:hAnsi="宋体"/>
          <w:color w:val="auto"/>
          <w:kern w:val="2"/>
          <w:sz w:val="21"/>
          <w:szCs w:val="21"/>
        </w:rPr>
        <w:t xml:space="preserve">6.3 </w:t>
      </w:r>
      <w:r>
        <w:rPr>
          <w:rFonts w:hint="eastAsia" w:ascii="宋体" w:hAnsi="宋体"/>
          <w:color w:val="auto"/>
          <w:kern w:val="2"/>
          <w:sz w:val="21"/>
          <w:szCs w:val="21"/>
          <w:lang w:val="fr-FR"/>
        </w:rPr>
        <w:t>防雷及接地</w:t>
      </w:r>
      <w:bookmarkEnd w:id="541"/>
    </w:p>
    <w:p w14:paraId="4487317C">
      <w:pPr>
        <w:ind w:firstLine="420" w:firstLineChars="200"/>
        <w:rPr>
          <w:bCs/>
          <w:color w:val="auto"/>
          <w:sz w:val="21"/>
          <w:szCs w:val="21"/>
        </w:rPr>
      </w:pPr>
      <w:r>
        <w:rPr>
          <w:rFonts w:hint="eastAsia"/>
          <w:bCs/>
          <w:color w:val="auto"/>
          <w:sz w:val="21"/>
          <w:szCs w:val="21"/>
        </w:rPr>
        <w:t>通信工程防雷及接地满足《铁路防雷及接地工程技术规范》（TB10180-2016）及最新规范要求。</w:t>
      </w:r>
    </w:p>
    <w:p w14:paraId="11823D03">
      <w:pPr>
        <w:ind w:firstLine="420" w:firstLineChars="200"/>
        <w:rPr>
          <w:color w:val="auto"/>
          <w:sz w:val="21"/>
          <w:szCs w:val="21"/>
        </w:rPr>
      </w:pPr>
      <w:r>
        <w:rPr>
          <w:color w:val="auto"/>
          <w:sz w:val="21"/>
          <w:szCs w:val="21"/>
        </w:rPr>
        <w:t>1</w:t>
      </w:r>
      <w:r>
        <w:rPr>
          <w:rFonts w:hint="eastAsia"/>
          <w:color w:val="auto"/>
          <w:sz w:val="21"/>
          <w:szCs w:val="21"/>
        </w:rPr>
        <w:t>．通信机房的防雷及接地</w:t>
      </w:r>
    </w:p>
    <w:p w14:paraId="4C6B6332">
      <w:pPr>
        <w:ind w:firstLine="420" w:firstLineChars="200"/>
        <w:rPr>
          <w:color w:val="auto"/>
          <w:sz w:val="21"/>
          <w:szCs w:val="21"/>
        </w:rPr>
      </w:pPr>
      <w:r>
        <w:rPr>
          <w:rFonts w:hint="eastAsia"/>
          <w:color w:val="auto"/>
          <w:sz w:val="21"/>
          <w:szCs w:val="21"/>
        </w:rPr>
        <w:t>本线车站、区间各通信机械室采用综合接地方式。各车站通信机械室、区间通信机械室的通信设备、区间的通信线路、铁塔等设施及区间通信线路均应设地线。</w:t>
      </w:r>
    </w:p>
    <w:p w14:paraId="4EC95D77">
      <w:pPr>
        <w:ind w:firstLine="420" w:firstLineChars="200"/>
        <w:rPr>
          <w:color w:val="auto"/>
          <w:sz w:val="21"/>
          <w:szCs w:val="21"/>
        </w:rPr>
      </w:pPr>
      <w:r>
        <w:rPr>
          <w:rFonts w:hint="eastAsia"/>
          <w:color w:val="auto"/>
          <w:sz w:val="21"/>
          <w:szCs w:val="21"/>
        </w:rPr>
        <w:t>车站通信机械室内设置不少于</w:t>
      </w:r>
      <w:r>
        <w:rPr>
          <w:color w:val="auto"/>
          <w:sz w:val="21"/>
          <w:szCs w:val="21"/>
        </w:rPr>
        <w:t>4</w:t>
      </w:r>
      <w:r>
        <w:rPr>
          <w:rFonts w:hint="eastAsia"/>
          <w:color w:val="auto"/>
          <w:sz w:val="21"/>
          <w:szCs w:val="21"/>
        </w:rPr>
        <w:t>处联合接地网的汇接端子，区间通信机械室内设置不少于</w:t>
      </w:r>
      <w:r>
        <w:rPr>
          <w:color w:val="auto"/>
          <w:sz w:val="21"/>
          <w:szCs w:val="21"/>
        </w:rPr>
        <w:t>2</w:t>
      </w:r>
      <w:r>
        <w:rPr>
          <w:rFonts w:hint="eastAsia"/>
          <w:color w:val="auto"/>
          <w:sz w:val="21"/>
          <w:szCs w:val="21"/>
        </w:rPr>
        <w:t>处联合接地网的汇接端子，在通信机械室防静电活动地板以下引出</w:t>
      </w:r>
      <w:r>
        <w:rPr>
          <w:color w:val="auto"/>
          <w:sz w:val="21"/>
          <w:szCs w:val="21"/>
        </w:rPr>
        <w:t>4mm*40mm</w:t>
      </w:r>
      <w:r>
        <w:rPr>
          <w:rFonts w:hint="eastAsia"/>
          <w:color w:val="auto"/>
          <w:sz w:val="21"/>
          <w:szCs w:val="21"/>
        </w:rPr>
        <w:t>（厚</w:t>
      </w:r>
      <w:r>
        <w:rPr>
          <w:color w:val="auto"/>
          <w:sz w:val="21"/>
          <w:szCs w:val="21"/>
        </w:rPr>
        <w:t>*</w:t>
      </w:r>
      <w:r>
        <w:rPr>
          <w:rFonts w:hint="eastAsia"/>
          <w:color w:val="auto"/>
          <w:sz w:val="21"/>
          <w:szCs w:val="21"/>
        </w:rPr>
        <w:t>宽）的扁钢，扁钢需与房屋的环形地网水平连接线牢固焊接，通过可靠焊接与房屋的建筑物的非防雷钢筋互联，扁钢伸出长度为距墙面</w:t>
      </w:r>
      <w:r>
        <w:rPr>
          <w:color w:val="auto"/>
          <w:sz w:val="21"/>
          <w:szCs w:val="21"/>
        </w:rPr>
        <w:t>150mm</w:t>
      </w:r>
      <w:r>
        <w:rPr>
          <w:rFonts w:hint="eastAsia"/>
          <w:color w:val="auto"/>
          <w:sz w:val="21"/>
          <w:szCs w:val="21"/>
        </w:rPr>
        <w:t>，标高</w:t>
      </w:r>
      <w:r>
        <w:rPr>
          <w:color w:val="auto"/>
          <w:sz w:val="21"/>
          <w:szCs w:val="21"/>
        </w:rPr>
        <w:t>20mm</w:t>
      </w:r>
      <w:r>
        <w:rPr>
          <w:rFonts w:hint="eastAsia"/>
          <w:color w:val="auto"/>
          <w:sz w:val="21"/>
          <w:szCs w:val="21"/>
        </w:rPr>
        <w:t>，作为通信设备的接地点。机房内多个等电位连接板之间做等电位连接。</w:t>
      </w:r>
    </w:p>
    <w:p w14:paraId="1E137214">
      <w:pPr>
        <w:ind w:firstLine="420" w:firstLineChars="200"/>
        <w:rPr>
          <w:color w:val="auto"/>
          <w:sz w:val="21"/>
          <w:szCs w:val="21"/>
        </w:rPr>
      </w:pPr>
      <w:r>
        <w:rPr>
          <w:rFonts w:hint="eastAsia"/>
          <w:color w:val="auto"/>
          <w:sz w:val="21"/>
          <w:szCs w:val="21"/>
        </w:rPr>
        <w:t>室内所有设备应做等电位连接。等电位连接的结构形式应采用</w:t>
      </w:r>
      <w:r>
        <w:rPr>
          <w:color w:val="auto"/>
          <w:sz w:val="21"/>
          <w:szCs w:val="21"/>
        </w:rPr>
        <w:t>S</w:t>
      </w:r>
      <w:r>
        <w:rPr>
          <w:rFonts w:hint="eastAsia"/>
          <w:color w:val="auto"/>
          <w:sz w:val="21"/>
          <w:szCs w:val="21"/>
        </w:rPr>
        <w:t>型、</w:t>
      </w:r>
      <w:r>
        <w:rPr>
          <w:color w:val="auto"/>
          <w:sz w:val="21"/>
          <w:szCs w:val="21"/>
        </w:rPr>
        <w:t>M</w:t>
      </w:r>
      <w:r>
        <w:rPr>
          <w:rFonts w:hint="eastAsia"/>
          <w:color w:val="auto"/>
          <w:sz w:val="21"/>
          <w:szCs w:val="21"/>
        </w:rPr>
        <w:t>型或它们的组合，设备的金属外壳、机柜、机架、线缆金属外层及加强芯、金属槽架、设备及防雷器件所需的各种接地均应以最短的距离与接地基准点或接地网格连接。机房等电位连接网络应与共用接地系统连接。</w:t>
      </w:r>
    </w:p>
    <w:p w14:paraId="6B0C268E">
      <w:pPr>
        <w:ind w:firstLine="420" w:firstLineChars="200"/>
        <w:rPr>
          <w:color w:val="auto"/>
          <w:sz w:val="21"/>
          <w:szCs w:val="21"/>
        </w:rPr>
      </w:pPr>
      <w:r>
        <w:rPr>
          <w:rFonts w:hint="eastAsia"/>
          <w:color w:val="auto"/>
          <w:sz w:val="21"/>
          <w:szCs w:val="21"/>
        </w:rPr>
        <w:t>所有等电位连接及接地，连接必须牢固可靠，并确保电气连通良好。</w:t>
      </w:r>
    </w:p>
    <w:p w14:paraId="4C3005C1">
      <w:pPr>
        <w:ind w:firstLine="420" w:firstLineChars="200"/>
        <w:rPr>
          <w:color w:val="auto"/>
          <w:sz w:val="21"/>
          <w:szCs w:val="21"/>
        </w:rPr>
      </w:pPr>
      <w:r>
        <w:rPr>
          <w:rFonts w:hint="eastAsia"/>
          <w:color w:val="auto"/>
          <w:sz w:val="21"/>
          <w:szCs w:val="21"/>
        </w:rPr>
        <w:t>接地线路径应短捷，接地线与等电位端子板</w:t>
      </w:r>
      <w:r>
        <w:rPr>
          <w:color w:val="auto"/>
          <w:sz w:val="21"/>
          <w:szCs w:val="21"/>
        </w:rPr>
        <w:t>/</w:t>
      </w:r>
      <w:r>
        <w:rPr>
          <w:rFonts w:hint="eastAsia"/>
          <w:color w:val="auto"/>
          <w:sz w:val="21"/>
          <w:szCs w:val="21"/>
        </w:rPr>
        <w:t>排采用栓接连接时应采用双螺母。接地连接线中严禁加装开关或熔断器。</w:t>
      </w:r>
    </w:p>
    <w:p w14:paraId="695993CE">
      <w:pPr>
        <w:ind w:firstLine="420" w:firstLineChars="200"/>
        <w:rPr>
          <w:color w:val="auto"/>
          <w:sz w:val="21"/>
          <w:szCs w:val="21"/>
        </w:rPr>
      </w:pPr>
      <w:r>
        <w:rPr>
          <w:rFonts w:hint="eastAsia"/>
          <w:color w:val="auto"/>
          <w:sz w:val="21"/>
          <w:szCs w:val="21"/>
        </w:rPr>
        <w:t>新建通信机房在墙体内用钢筋网设置屏蔽层。钢筋网应采用不小于</w:t>
      </w:r>
      <w:r>
        <w:rPr>
          <w:rFonts w:hint="eastAsia" w:ascii="宋体" w:hAnsi="宋体"/>
          <w:color w:val="auto"/>
          <w:sz w:val="21"/>
          <w:szCs w:val="21"/>
        </w:rPr>
        <w:t>Φ</w:t>
      </w:r>
      <w:r>
        <w:rPr>
          <w:color w:val="auto"/>
          <w:sz w:val="21"/>
          <w:szCs w:val="21"/>
        </w:rPr>
        <w:t>8mm</w:t>
      </w:r>
      <w:r>
        <w:rPr>
          <w:rFonts w:hint="eastAsia"/>
          <w:color w:val="auto"/>
          <w:sz w:val="21"/>
          <w:szCs w:val="21"/>
        </w:rPr>
        <w:t>的圆钢焊接成不大于</w:t>
      </w:r>
      <w:r>
        <w:rPr>
          <w:color w:val="auto"/>
          <w:sz w:val="21"/>
          <w:szCs w:val="21"/>
        </w:rPr>
        <w:t>600mm</w:t>
      </w:r>
      <w:r>
        <w:rPr>
          <w:rFonts w:hint="eastAsia" w:ascii="宋体" w:hAnsi="宋体"/>
          <w:color w:val="auto"/>
          <w:sz w:val="21"/>
          <w:szCs w:val="21"/>
        </w:rPr>
        <w:t>×</w:t>
      </w:r>
      <w:r>
        <w:rPr>
          <w:color w:val="auto"/>
          <w:sz w:val="21"/>
          <w:szCs w:val="21"/>
        </w:rPr>
        <w:t>600mm</w:t>
      </w:r>
      <w:r>
        <w:rPr>
          <w:rFonts w:hint="eastAsia"/>
          <w:color w:val="auto"/>
          <w:sz w:val="21"/>
          <w:szCs w:val="21"/>
        </w:rPr>
        <w:t>网格，并与主筋焊接连通，窗户设有防盗网的还应与防盗网钢筋焊接。设置处所和施工工艺做法详见房建专业图纸。</w:t>
      </w:r>
    </w:p>
    <w:p w14:paraId="2C8825BF">
      <w:pPr>
        <w:ind w:firstLine="420" w:firstLineChars="200"/>
        <w:rPr>
          <w:color w:val="auto"/>
          <w:sz w:val="21"/>
          <w:szCs w:val="21"/>
        </w:rPr>
      </w:pPr>
      <w:r>
        <w:rPr>
          <w:rFonts w:hint="eastAsia"/>
          <w:color w:val="auto"/>
          <w:sz w:val="21"/>
          <w:szCs w:val="21"/>
        </w:rPr>
        <w:t>通信机械室每个室外电缆井（共</w:t>
      </w:r>
      <w:r>
        <w:rPr>
          <w:color w:val="auto"/>
          <w:sz w:val="21"/>
          <w:szCs w:val="21"/>
        </w:rPr>
        <w:t>2</w:t>
      </w:r>
      <w:r>
        <w:rPr>
          <w:rFonts w:hint="eastAsia"/>
          <w:color w:val="auto"/>
          <w:sz w:val="21"/>
          <w:szCs w:val="21"/>
        </w:rPr>
        <w:t>处）各设置</w:t>
      </w:r>
      <w:r>
        <w:rPr>
          <w:color w:val="auto"/>
          <w:sz w:val="21"/>
          <w:szCs w:val="21"/>
        </w:rPr>
        <w:t>1</w:t>
      </w:r>
      <w:r>
        <w:rPr>
          <w:rFonts w:hint="eastAsia"/>
          <w:color w:val="auto"/>
          <w:sz w:val="21"/>
          <w:szCs w:val="21"/>
        </w:rPr>
        <w:t>处汇接端子。引出</w:t>
      </w:r>
      <w:r>
        <w:rPr>
          <w:color w:val="auto"/>
          <w:sz w:val="21"/>
          <w:szCs w:val="21"/>
        </w:rPr>
        <w:t>4mm*40mm</w:t>
      </w:r>
      <w:r>
        <w:rPr>
          <w:rFonts w:hint="eastAsia"/>
          <w:color w:val="auto"/>
          <w:sz w:val="21"/>
          <w:szCs w:val="21"/>
        </w:rPr>
        <w:t>（厚</w:t>
      </w:r>
      <w:r>
        <w:rPr>
          <w:color w:val="auto"/>
          <w:sz w:val="21"/>
          <w:szCs w:val="21"/>
        </w:rPr>
        <w:t>*</w:t>
      </w:r>
      <w:r>
        <w:rPr>
          <w:rFonts w:hint="eastAsia"/>
          <w:color w:val="auto"/>
          <w:sz w:val="21"/>
          <w:szCs w:val="21"/>
        </w:rPr>
        <w:t>宽）的扁钢，扁钢需与房屋的环形地网水平连接线牢固焊接，通过可靠焊接与房屋的建筑防雷地线沟通，扁钢伸出长度为距墙面</w:t>
      </w:r>
      <w:r>
        <w:rPr>
          <w:color w:val="auto"/>
          <w:sz w:val="21"/>
          <w:szCs w:val="21"/>
        </w:rPr>
        <w:t>150mm</w:t>
      </w:r>
      <w:r>
        <w:rPr>
          <w:rFonts w:hint="eastAsia"/>
          <w:color w:val="auto"/>
          <w:sz w:val="21"/>
          <w:szCs w:val="21"/>
        </w:rPr>
        <w:t>，标高</w:t>
      </w:r>
      <w:r>
        <w:rPr>
          <w:color w:val="auto"/>
          <w:sz w:val="21"/>
          <w:szCs w:val="21"/>
        </w:rPr>
        <w:t>20mm</w:t>
      </w:r>
      <w:r>
        <w:rPr>
          <w:rFonts w:hint="eastAsia"/>
          <w:color w:val="auto"/>
          <w:sz w:val="21"/>
          <w:szCs w:val="21"/>
        </w:rPr>
        <w:t>。</w:t>
      </w:r>
    </w:p>
    <w:p w14:paraId="7E1CD70A">
      <w:pPr>
        <w:ind w:firstLine="420" w:firstLineChars="200"/>
        <w:rPr>
          <w:color w:val="auto"/>
          <w:sz w:val="21"/>
          <w:szCs w:val="21"/>
        </w:rPr>
      </w:pPr>
      <w:r>
        <w:rPr>
          <w:rFonts w:hint="eastAsia"/>
          <w:color w:val="auto"/>
          <w:sz w:val="21"/>
          <w:szCs w:val="21"/>
        </w:rPr>
        <w:t>对超过</w:t>
      </w:r>
      <w:r>
        <w:rPr>
          <w:color w:val="auto"/>
          <w:sz w:val="21"/>
          <w:szCs w:val="21"/>
        </w:rPr>
        <w:t>50m</w:t>
      </w:r>
      <w:r>
        <w:rPr>
          <w:rFonts w:hint="eastAsia"/>
          <w:color w:val="auto"/>
          <w:sz w:val="21"/>
          <w:szCs w:val="21"/>
        </w:rPr>
        <w:t>的室内数据线进行防雷保护，在通信机械室内通信设备侧设置浪涌保护器。浪涌保护器必须满足相关技术要求和参数。</w:t>
      </w:r>
    </w:p>
    <w:p w14:paraId="3372A5DA">
      <w:pPr>
        <w:ind w:firstLine="420" w:firstLineChars="200"/>
        <w:rPr>
          <w:color w:val="auto"/>
          <w:sz w:val="21"/>
          <w:szCs w:val="21"/>
        </w:rPr>
      </w:pPr>
      <w:r>
        <w:rPr>
          <w:rFonts w:hint="eastAsia"/>
          <w:color w:val="auto"/>
          <w:sz w:val="21"/>
          <w:szCs w:val="21"/>
        </w:rPr>
        <w:t>对从通信机房室外引入室内的电源线需设置浪涌保护器（限压型</w:t>
      </w:r>
      <w:r>
        <w:rPr>
          <w:color w:val="auto"/>
          <w:sz w:val="21"/>
          <w:szCs w:val="21"/>
        </w:rPr>
        <w:t>SPD</w:t>
      </w:r>
      <w:r>
        <w:rPr>
          <w:rFonts w:hint="eastAsia"/>
          <w:color w:val="auto"/>
          <w:sz w:val="21"/>
          <w:szCs w:val="21"/>
        </w:rPr>
        <w:t>），电源线</w:t>
      </w:r>
      <w:r>
        <w:rPr>
          <w:color w:val="auto"/>
          <w:sz w:val="21"/>
          <w:szCs w:val="21"/>
        </w:rPr>
        <w:t>SPD</w:t>
      </w:r>
      <w:r>
        <w:rPr>
          <w:rFonts w:hint="eastAsia"/>
          <w:color w:val="auto"/>
          <w:sz w:val="21"/>
          <w:szCs w:val="21"/>
        </w:rPr>
        <w:t>引接线上要串接空开，以防</w:t>
      </w:r>
      <w:r>
        <w:rPr>
          <w:color w:val="auto"/>
          <w:sz w:val="21"/>
          <w:szCs w:val="21"/>
        </w:rPr>
        <w:t>SPD</w:t>
      </w:r>
      <w:r>
        <w:rPr>
          <w:rFonts w:hint="eastAsia"/>
          <w:color w:val="auto"/>
          <w:sz w:val="21"/>
          <w:szCs w:val="21"/>
        </w:rPr>
        <w:t>失效引起电源回路短路。供电回路电流小于</w:t>
      </w:r>
      <w:r>
        <w:rPr>
          <w:color w:val="auto"/>
          <w:sz w:val="21"/>
          <w:szCs w:val="21"/>
        </w:rPr>
        <w:t>10A</w:t>
      </w:r>
      <w:r>
        <w:rPr>
          <w:rFonts w:hint="eastAsia"/>
          <w:color w:val="auto"/>
          <w:sz w:val="21"/>
          <w:szCs w:val="21"/>
        </w:rPr>
        <w:t>，且供电回路已经装有空开时，</w:t>
      </w:r>
      <w:r>
        <w:rPr>
          <w:color w:val="auto"/>
          <w:sz w:val="21"/>
          <w:szCs w:val="21"/>
        </w:rPr>
        <w:t>SPD</w:t>
      </w:r>
      <w:r>
        <w:rPr>
          <w:rFonts w:hint="eastAsia"/>
          <w:color w:val="auto"/>
          <w:sz w:val="21"/>
          <w:szCs w:val="21"/>
        </w:rPr>
        <w:t>前可不加装空开。</w:t>
      </w:r>
    </w:p>
    <w:p w14:paraId="5051628D">
      <w:pPr>
        <w:ind w:firstLine="420" w:firstLineChars="200"/>
        <w:rPr>
          <w:color w:val="auto"/>
          <w:sz w:val="21"/>
          <w:szCs w:val="21"/>
        </w:rPr>
      </w:pPr>
      <w:r>
        <w:rPr>
          <w:rFonts w:hint="eastAsia"/>
          <w:color w:val="auto"/>
          <w:sz w:val="21"/>
          <w:szCs w:val="21"/>
        </w:rPr>
        <w:t>电力（电气化）专业输出</w:t>
      </w:r>
      <w:r>
        <w:rPr>
          <w:color w:val="auto"/>
          <w:sz w:val="21"/>
          <w:szCs w:val="21"/>
        </w:rPr>
        <w:t>2</w:t>
      </w:r>
      <w:r>
        <w:rPr>
          <w:rFonts w:hint="eastAsia"/>
          <w:color w:val="auto"/>
          <w:sz w:val="21"/>
          <w:szCs w:val="21"/>
        </w:rPr>
        <w:t>路独立交流电源引入通信机械室内。外电引入由电力专业在总配电箱内设置第一级电源防雷箱，通信专业在电源设备前端设置第二级</w:t>
      </w:r>
      <w:r>
        <w:rPr>
          <w:color w:val="auto"/>
          <w:sz w:val="21"/>
          <w:szCs w:val="21"/>
        </w:rPr>
        <w:t>SPD</w:t>
      </w:r>
      <w:r>
        <w:rPr>
          <w:rFonts w:hint="eastAsia"/>
          <w:color w:val="auto"/>
          <w:sz w:val="21"/>
          <w:szCs w:val="21"/>
        </w:rPr>
        <w:t>。对不具备过电压防护措施的设备，应在设备电源引入前端设置第三级</w:t>
      </w:r>
      <w:r>
        <w:rPr>
          <w:color w:val="auto"/>
          <w:sz w:val="21"/>
          <w:szCs w:val="21"/>
        </w:rPr>
        <w:t>SPD</w:t>
      </w:r>
      <w:r>
        <w:rPr>
          <w:rFonts w:hint="eastAsia"/>
          <w:color w:val="auto"/>
          <w:sz w:val="21"/>
          <w:szCs w:val="21"/>
        </w:rPr>
        <w:t>，各级防雷器应就近接地，各级防雷器之间应保持不小于</w:t>
      </w:r>
      <w:r>
        <w:rPr>
          <w:color w:val="auto"/>
          <w:sz w:val="21"/>
          <w:szCs w:val="21"/>
        </w:rPr>
        <w:t>5m</w:t>
      </w:r>
      <w:r>
        <w:rPr>
          <w:rFonts w:hint="eastAsia"/>
          <w:color w:val="auto"/>
          <w:sz w:val="21"/>
          <w:szCs w:val="21"/>
        </w:rPr>
        <w:t>的退耦距离或增设退耦器件。</w:t>
      </w:r>
    </w:p>
    <w:p w14:paraId="5D3EAA91">
      <w:pPr>
        <w:ind w:firstLine="420" w:firstLineChars="200"/>
        <w:rPr>
          <w:color w:val="auto"/>
          <w:sz w:val="21"/>
          <w:szCs w:val="21"/>
        </w:rPr>
      </w:pPr>
      <w:r>
        <w:rPr>
          <w:rFonts w:hint="eastAsia"/>
          <w:color w:val="auto"/>
          <w:sz w:val="21"/>
          <w:szCs w:val="21"/>
        </w:rPr>
        <w:t>通信电源防雷箱需满足同时对两路电源进行防浪涌防护。抑制感应雷或其他原因在供电网络和信息系统中产生的浪涌过电压和过电流，使被保护设备始终处于安全状态。各级配电线路</w:t>
      </w:r>
      <w:r>
        <w:rPr>
          <w:color w:val="auto"/>
          <w:sz w:val="21"/>
          <w:szCs w:val="21"/>
        </w:rPr>
        <w:t>SPD</w:t>
      </w:r>
      <w:r>
        <w:rPr>
          <w:rFonts w:hint="eastAsia"/>
          <w:color w:val="auto"/>
          <w:sz w:val="21"/>
          <w:szCs w:val="21"/>
        </w:rPr>
        <w:t>标称放电电流（</w:t>
      </w:r>
      <w:r>
        <w:rPr>
          <w:color w:val="auto"/>
          <w:sz w:val="21"/>
          <w:szCs w:val="21"/>
        </w:rPr>
        <w:t>In</w:t>
      </w:r>
      <w:r>
        <w:rPr>
          <w:rFonts w:hint="eastAsia"/>
          <w:color w:val="auto"/>
          <w:sz w:val="21"/>
          <w:szCs w:val="21"/>
        </w:rPr>
        <w:t>）、保护电压（</w:t>
      </w:r>
      <w:r>
        <w:rPr>
          <w:color w:val="auto"/>
          <w:sz w:val="21"/>
          <w:szCs w:val="21"/>
        </w:rPr>
        <w:t>Up/f</w:t>
      </w:r>
      <w:r>
        <w:rPr>
          <w:rFonts w:hint="eastAsia"/>
          <w:color w:val="auto"/>
          <w:sz w:val="21"/>
          <w:szCs w:val="21"/>
        </w:rPr>
        <w:t>）、额定工作电压（</w:t>
      </w:r>
      <w:r>
        <w:rPr>
          <w:color w:val="auto"/>
          <w:sz w:val="21"/>
          <w:szCs w:val="21"/>
        </w:rPr>
        <w:t>Un</w:t>
      </w:r>
      <w:r>
        <w:rPr>
          <w:rFonts w:hint="eastAsia"/>
          <w:color w:val="auto"/>
          <w:sz w:val="21"/>
          <w:szCs w:val="21"/>
        </w:rPr>
        <w:t>）及最大持续工作电压（</w:t>
      </w:r>
      <w:r>
        <w:rPr>
          <w:color w:val="auto"/>
          <w:sz w:val="21"/>
          <w:szCs w:val="21"/>
        </w:rPr>
        <w:t>UC</w:t>
      </w:r>
      <w:r>
        <w:rPr>
          <w:rFonts w:hint="eastAsia"/>
          <w:color w:val="auto"/>
          <w:sz w:val="21"/>
          <w:szCs w:val="21"/>
        </w:rPr>
        <w:t>）参数值应符合国家相关规范规定。</w:t>
      </w:r>
    </w:p>
    <w:p w14:paraId="4822535E">
      <w:pPr>
        <w:ind w:firstLine="420" w:firstLineChars="200"/>
        <w:rPr>
          <w:color w:val="auto"/>
          <w:sz w:val="21"/>
          <w:szCs w:val="21"/>
        </w:rPr>
      </w:pPr>
      <w:r>
        <w:rPr>
          <w:rFonts w:hint="eastAsia"/>
          <w:color w:val="auto"/>
          <w:sz w:val="21"/>
          <w:szCs w:val="21"/>
        </w:rPr>
        <w:t>开关电源：开关电源交流输入端及直流输出端均应提供可靠的雷击浪涌保护装置，能承受模拟雷击电压波形为</w:t>
      </w:r>
      <w:r>
        <w:rPr>
          <w:color w:val="auto"/>
          <w:sz w:val="21"/>
          <w:szCs w:val="21"/>
        </w:rPr>
        <w:t>10/700μS</w:t>
      </w:r>
      <w:r>
        <w:rPr>
          <w:rFonts w:hint="eastAsia"/>
          <w:color w:val="auto"/>
          <w:sz w:val="21"/>
          <w:szCs w:val="21"/>
        </w:rPr>
        <w:t>，幅值为</w:t>
      </w:r>
      <w:r>
        <w:rPr>
          <w:color w:val="auto"/>
          <w:sz w:val="21"/>
          <w:szCs w:val="21"/>
        </w:rPr>
        <w:t>5kV</w:t>
      </w:r>
      <w:r>
        <w:rPr>
          <w:rFonts w:hint="eastAsia"/>
          <w:color w:val="auto"/>
          <w:sz w:val="21"/>
          <w:szCs w:val="21"/>
        </w:rPr>
        <w:t>的冲击</w:t>
      </w:r>
      <w:r>
        <w:rPr>
          <w:color w:val="auto"/>
          <w:sz w:val="21"/>
          <w:szCs w:val="21"/>
        </w:rPr>
        <w:t>5</w:t>
      </w:r>
      <w:r>
        <w:rPr>
          <w:rFonts w:hint="eastAsia"/>
          <w:color w:val="auto"/>
          <w:sz w:val="21"/>
          <w:szCs w:val="21"/>
        </w:rPr>
        <w:t>次，雷击电流波形为</w:t>
      </w:r>
      <w:r>
        <w:rPr>
          <w:color w:val="auto"/>
          <w:sz w:val="21"/>
          <w:szCs w:val="21"/>
        </w:rPr>
        <w:t>8/20μS</w:t>
      </w:r>
      <w:r>
        <w:rPr>
          <w:rFonts w:hint="eastAsia"/>
          <w:color w:val="auto"/>
          <w:sz w:val="21"/>
          <w:szCs w:val="21"/>
        </w:rPr>
        <w:t>，幅值为</w:t>
      </w:r>
      <w:r>
        <w:rPr>
          <w:color w:val="auto"/>
          <w:sz w:val="21"/>
          <w:szCs w:val="21"/>
        </w:rPr>
        <w:t>40kA</w:t>
      </w:r>
      <w:r>
        <w:rPr>
          <w:rFonts w:hint="eastAsia"/>
          <w:color w:val="auto"/>
          <w:sz w:val="21"/>
          <w:szCs w:val="21"/>
        </w:rPr>
        <w:t>的冲击</w:t>
      </w:r>
      <w:r>
        <w:rPr>
          <w:color w:val="auto"/>
          <w:sz w:val="21"/>
          <w:szCs w:val="21"/>
        </w:rPr>
        <w:t>5</w:t>
      </w:r>
      <w:r>
        <w:rPr>
          <w:rFonts w:hint="eastAsia"/>
          <w:color w:val="auto"/>
          <w:sz w:val="21"/>
          <w:szCs w:val="21"/>
        </w:rPr>
        <w:t>次，冲击间隔时间不小于</w:t>
      </w:r>
      <w:r>
        <w:rPr>
          <w:color w:val="auto"/>
          <w:sz w:val="21"/>
          <w:szCs w:val="21"/>
        </w:rPr>
        <w:t>1min</w:t>
      </w:r>
      <w:r>
        <w:rPr>
          <w:rFonts w:hint="eastAsia"/>
          <w:color w:val="auto"/>
          <w:sz w:val="21"/>
          <w:szCs w:val="21"/>
        </w:rPr>
        <w:t>。</w:t>
      </w:r>
    </w:p>
    <w:p w14:paraId="67E51D0E">
      <w:pPr>
        <w:ind w:firstLine="420" w:firstLineChars="200"/>
        <w:rPr>
          <w:color w:val="auto"/>
          <w:sz w:val="21"/>
          <w:szCs w:val="21"/>
        </w:rPr>
      </w:pPr>
      <w:r>
        <w:rPr>
          <w:color w:val="auto"/>
          <w:sz w:val="21"/>
          <w:szCs w:val="21"/>
        </w:rPr>
        <w:t>UPS</w:t>
      </w:r>
      <w:r>
        <w:rPr>
          <w:rFonts w:hint="eastAsia"/>
          <w:color w:val="auto"/>
          <w:sz w:val="21"/>
          <w:szCs w:val="21"/>
        </w:rPr>
        <w:t>电源：设备具有防雷装置，能承受模拟雷击电压波形</w:t>
      </w:r>
      <w:r>
        <w:rPr>
          <w:color w:val="auto"/>
          <w:sz w:val="21"/>
          <w:szCs w:val="21"/>
        </w:rPr>
        <w:t>10/700μS</w:t>
      </w:r>
      <w:r>
        <w:rPr>
          <w:rFonts w:hint="eastAsia"/>
          <w:color w:val="auto"/>
          <w:sz w:val="21"/>
          <w:szCs w:val="21"/>
        </w:rPr>
        <w:t>，幅值为</w:t>
      </w:r>
      <w:r>
        <w:rPr>
          <w:color w:val="auto"/>
          <w:sz w:val="21"/>
          <w:szCs w:val="21"/>
        </w:rPr>
        <w:t>5kV</w:t>
      </w:r>
      <w:r>
        <w:rPr>
          <w:rFonts w:hint="eastAsia"/>
          <w:color w:val="auto"/>
          <w:sz w:val="21"/>
          <w:szCs w:val="21"/>
        </w:rPr>
        <w:t>的冲击</w:t>
      </w:r>
      <w:r>
        <w:rPr>
          <w:color w:val="auto"/>
          <w:sz w:val="21"/>
          <w:szCs w:val="21"/>
        </w:rPr>
        <w:t>5</w:t>
      </w:r>
      <w:r>
        <w:rPr>
          <w:rFonts w:hint="eastAsia"/>
          <w:color w:val="auto"/>
          <w:sz w:val="21"/>
          <w:szCs w:val="21"/>
        </w:rPr>
        <w:t>次，模拟雷击电流波形</w:t>
      </w:r>
      <w:r>
        <w:rPr>
          <w:color w:val="auto"/>
          <w:sz w:val="21"/>
          <w:szCs w:val="21"/>
        </w:rPr>
        <w:t>8/20μS</w:t>
      </w:r>
      <w:r>
        <w:rPr>
          <w:rFonts w:hint="eastAsia"/>
          <w:color w:val="auto"/>
          <w:sz w:val="21"/>
          <w:szCs w:val="21"/>
        </w:rPr>
        <w:t>，幅值为</w:t>
      </w:r>
      <w:r>
        <w:rPr>
          <w:color w:val="auto"/>
          <w:sz w:val="21"/>
          <w:szCs w:val="21"/>
        </w:rPr>
        <w:t>20kA</w:t>
      </w:r>
      <w:r>
        <w:rPr>
          <w:rFonts w:hint="eastAsia"/>
          <w:color w:val="auto"/>
          <w:sz w:val="21"/>
          <w:szCs w:val="21"/>
        </w:rPr>
        <w:t>的冲击</w:t>
      </w:r>
      <w:r>
        <w:rPr>
          <w:color w:val="auto"/>
          <w:sz w:val="21"/>
          <w:szCs w:val="21"/>
        </w:rPr>
        <w:t>5</w:t>
      </w:r>
      <w:r>
        <w:rPr>
          <w:rFonts w:hint="eastAsia"/>
          <w:color w:val="auto"/>
          <w:sz w:val="21"/>
          <w:szCs w:val="21"/>
        </w:rPr>
        <w:t>次，每次冲击间隔为</w:t>
      </w:r>
      <w:r>
        <w:rPr>
          <w:color w:val="auto"/>
          <w:sz w:val="21"/>
          <w:szCs w:val="21"/>
        </w:rPr>
        <w:t>1 min</w:t>
      </w:r>
      <w:r>
        <w:rPr>
          <w:rFonts w:hint="eastAsia"/>
          <w:color w:val="auto"/>
          <w:sz w:val="21"/>
          <w:szCs w:val="21"/>
        </w:rPr>
        <w:t>，设备仍能正常工作。</w:t>
      </w:r>
    </w:p>
    <w:p w14:paraId="5B988F1B">
      <w:pPr>
        <w:ind w:firstLine="420" w:firstLineChars="200"/>
        <w:rPr>
          <w:color w:val="auto"/>
          <w:sz w:val="21"/>
          <w:szCs w:val="21"/>
        </w:rPr>
      </w:pPr>
      <w:r>
        <w:rPr>
          <w:rFonts w:hint="eastAsia"/>
          <w:color w:val="auto"/>
          <w:sz w:val="21"/>
          <w:szCs w:val="21"/>
        </w:rPr>
        <w:t>接地连接线中严禁加装开关或熔断器。</w:t>
      </w:r>
    </w:p>
    <w:p w14:paraId="06B6E3AA">
      <w:pPr>
        <w:ind w:firstLine="420" w:firstLineChars="200"/>
        <w:rPr>
          <w:color w:val="auto"/>
          <w:sz w:val="21"/>
          <w:szCs w:val="21"/>
        </w:rPr>
      </w:pPr>
      <w:r>
        <w:rPr>
          <w:rFonts w:hint="eastAsia"/>
          <w:color w:val="auto"/>
          <w:sz w:val="21"/>
          <w:szCs w:val="21"/>
        </w:rPr>
        <w:t>通信设置的外供电源，电源芯线室内端应根据其相应防护等级设置相应规格的电源防雷模块。</w:t>
      </w:r>
    </w:p>
    <w:p w14:paraId="3148B6F8">
      <w:pPr>
        <w:ind w:firstLine="420" w:firstLineChars="200"/>
        <w:rPr>
          <w:color w:val="auto"/>
          <w:sz w:val="21"/>
          <w:szCs w:val="21"/>
        </w:rPr>
      </w:pPr>
      <w:r>
        <w:rPr>
          <w:rFonts w:hint="eastAsia"/>
          <w:color w:val="auto"/>
          <w:sz w:val="21"/>
          <w:szCs w:val="21"/>
        </w:rPr>
        <w:t>各类信号线、用户电缆，从室外引入通信机房和用户房屋时，芯线均应安装</w:t>
      </w:r>
      <w:r>
        <w:rPr>
          <w:color w:val="auto"/>
          <w:sz w:val="21"/>
          <w:szCs w:val="21"/>
        </w:rPr>
        <w:t>SPD/</w:t>
      </w:r>
      <w:r>
        <w:rPr>
          <w:rFonts w:hint="eastAsia"/>
          <w:color w:val="auto"/>
          <w:sz w:val="21"/>
          <w:szCs w:val="21"/>
        </w:rPr>
        <w:t>保安单元或采取其他雷电防护措施。</w:t>
      </w:r>
    </w:p>
    <w:p w14:paraId="4DA00323">
      <w:pPr>
        <w:ind w:firstLine="420" w:firstLineChars="200"/>
        <w:rPr>
          <w:color w:val="auto"/>
          <w:sz w:val="21"/>
          <w:szCs w:val="21"/>
        </w:rPr>
      </w:pPr>
      <w:r>
        <w:rPr>
          <w:rFonts w:hint="eastAsia"/>
          <w:color w:val="auto"/>
          <w:sz w:val="21"/>
          <w:szCs w:val="21"/>
        </w:rPr>
        <w:t>并联型线路</w:t>
      </w:r>
      <w:r>
        <w:rPr>
          <w:color w:val="auto"/>
          <w:sz w:val="21"/>
          <w:szCs w:val="21"/>
        </w:rPr>
        <w:t>SPD</w:t>
      </w:r>
      <w:r>
        <w:rPr>
          <w:rFonts w:hint="eastAsia"/>
          <w:color w:val="auto"/>
          <w:sz w:val="21"/>
          <w:szCs w:val="21"/>
        </w:rPr>
        <w:t>的连接导线总长度不宜大于</w:t>
      </w:r>
      <w:r>
        <w:rPr>
          <w:color w:val="auto"/>
          <w:sz w:val="21"/>
          <w:szCs w:val="21"/>
        </w:rPr>
        <w:t>0.5m</w:t>
      </w:r>
      <w:r>
        <w:rPr>
          <w:rFonts w:hint="eastAsia"/>
          <w:color w:val="auto"/>
          <w:sz w:val="21"/>
          <w:szCs w:val="21"/>
        </w:rPr>
        <w:t>，条件困难时应采用凯文接线方式。</w:t>
      </w:r>
    </w:p>
    <w:p w14:paraId="0EA534A7">
      <w:pPr>
        <w:ind w:firstLine="420" w:firstLineChars="200"/>
        <w:rPr>
          <w:color w:val="auto"/>
          <w:sz w:val="21"/>
          <w:szCs w:val="21"/>
        </w:rPr>
      </w:pPr>
      <w:r>
        <w:rPr>
          <w:rFonts w:hint="eastAsia"/>
          <w:color w:val="auto"/>
          <w:sz w:val="21"/>
          <w:szCs w:val="21"/>
        </w:rPr>
        <w:t>建筑物内通信系统应采取综合防雷措施：</w:t>
      </w:r>
    </w:p>
    <w:p w14:paraId="72E1A376">
      <w:pPr>
        <w:suppressAutoHyphens/>
        <w:topLinePunct/>
        <w:jc w:val="center"/>
        <w:rPr>
          <w:color w:val="auto"/>
          <w:sz w:val="21"/>
          <w:szCs w:val="21"/>
        </w:rPr>
      </w:pPr>
      <w:r>
        <w:rPr>
          <w:color w:val="auto"/>
          <w:sz w:val="21"/>
          <w:szCs w:val="21"/>
        </w:rPr>
        <w:drawing>
          <wp:inline distT="0" distB="0" distL="114300" distR="114300">
            <wp:extent cx="4114800" cy="3171825"/>
            <wp:effectExtent l="0" t="0" r="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114800" cy="3171825"/>
                    </a:xfrm>
                    <a:prstGeom prst="rect">
                      <a:avLst/>
                    </a:prstGeom>
                    <a:noFill/>
                    <a:ln>
                      <a:noFill/>
                    </a:ln>
                  </pic:spPr>
                </pic:pic>
              </a:graphicData>
            </a:graphic>
          </wp:inline>
        </w:drawing>
      </w:r>
    </w:p>
    <w:p w14:paraId="66DD673C">
      <w:pPr>
        <w:spacing w:before="120"/>
        <w:ind w:firstLine="420" w:firstLineChars="200"/>
        <w:rPr>
          <w:color w:val="auto"/>
          <w:sz w:val="21"/>
          <w:szCs w:val="21"/>
        </w:rPr>
      </w:pPr>
      <w:r>
        <w:rPr>
          <w:rFonts w:hint="eastAsia"/>
          <w:color w:val="auto"/>
          <w:sz w:val="21"/>
          <w:szCs w:val="21"/>
        </w:rPr>
        <w:t>建筑物内通信系统雷电保护等级见下表：</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945"/>
        <w:gridCol w:w="6381"/>
      </w:tblGrid>
      <w:tr w14:paraId="622D67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168" w:type="pct"/>
            <w:tcBorders>
              <w:top w:val="single" w:color="auto" w:sz="8" w:space="0"/>
              <w:left w:val="single" w:color="auto" w:sz="8" w:space="0"/>
              <w:bottom w:val="single" w:color="auto" w:sz="4" w:space="0"/>
              <w:right w:val="single" w:color="auto" w:sz="4" w:space="0"/>
            </w:tcBorders>
            <w:tcMar>
              <w:top w:w="0" w:type="dxa"/>
              <w:left w:w="0" w:type="dxa"/>
              <w:right w:w="0" w:type="dxa"/>
            </w:tcMar>
            <w:vAlign w:val="center"/>
          </w:tcPr>
          <w:p w14:paraId="56CE5897">
            <w:pPr>
              <w:snapToGrid w:val="0"/>
              <w:jc w:val="center"/>
              <w:rPr>
                <w:color w:val="auto"/>
                <w:sz w:val="21"/>
                <w:szCs w:val="21"/>
              </w:rPr>
            </w:pPr>
            <w:r>
              <w:rPr>
                <w:rFonts w:hint="eastAsia"/>
                <w:color w:val="auto"/>
                <w:sz w:val="21"/>
                <w:szCs w:val="21"/>
              </w:rPr>
              <w:t>雷电防护等级</w:t>
            </w:r>
          </w:p>
        </w:tc>
        <w:tc>
          <w:tcPr>
            <w:tcW w:w="3832" w:type="pct"/>
            <w:tcBorders>
              <w:top w:val="single" w:color="auto" w:sz="8" w:space="0"/>
              <w:left w:val="single" w:color="auto" w:sz="4" w:space="0"/>
              <w:bottom w:val="single" w:color="auto" w:sz="4" w:space="0"/>
              <w:right w:val="single" w:color="auto" w:sz="8" w:space="0"/>
            </w:tcBorders>
            <w:tcMar>
              <w:top w:w="0" w:type="dxa"/>
              <w:left w:w="0" w:type="dxa"/>
              <w:right w:w="0" w:type="dxa"/>
            </w:tcMar>
            <w:vAlign w:val="center"/>
          </w:tcPr>
          <w:p w14:paraId="452972FF">
            <w:pPr>
              <w:snapToGrid w:val="0"/>
              <w:jc w:val="center"/>
              <w:rPr>
                <w:color w:val="auto"/>
                <w:sz w:val="21"/>
                <w:szCs w:val="21"/>
              </w:rPr>
            </w:pPr>
            <w:r>
              <w:rPr>
                <w:rFonts w:hint="eastAsia"/>
                <w:color w:val="auto"/>
                <w:sz w:val="21"/>
                <w:szCs w:val="21"/>
              </w:rPr>
              <w:t>通信站点</w:t>
            </w:r>
          </w:p>
        </w:tc>
      </w:tr>
      <w:tr w14:paraId="3E13ED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168" w:type="pct"/>
            <w:tcBorders>
              <w:top w:val="single" w:color="auto" w:sz="4" w:space="0"/>
              <w:left w:val="single" w:color="auto" w:sz="8" w:space="0"/>
              <w:bottom w:val="single" w:color="auto" w:sz="4" w:space="0"/>
              <w:right w:val="single" w:color="auto" w:sz="4" w:space="0"/>
            </w:tcBorders>
            <w:tcMar>
              <w:top w:w="0" w:type="dxa"/>
              <w:left w:w="0" w:type="dxa"/>
              <w:right w:w="0" w:type="dxa"/>
            </w:tcMar>
            <w:vAlign w:val="center"/>
          </w:tcPr>
          <w:p w14:paraId="02F4AC33">
            <w:pPr>
              <w:snapToGrid w:val="0"/>
              <w:jc w:val="center"/>
              <w:rPr>
                <w:color w:val="auto"/>
                <w:sz w:val="21"/>
                <w:szCs w:val="21"/>
              </w:rPr>
            </w:pPr>
            <w:r>
              <w:rPr>
                <w:color w:val="auto"/>
                <w:sz w:val="21"/>
                <w:szCs w:val="21"/>
              </w:rPr>
              <w:t>A</w:t>
            </w:r>
          </w:p>
        </w:tc>
        <w:tc>
          <w:tcPr>
            <w:tcW w:w="3832" w:type="pct"/>
            <w:tcBorders>
              <w:top w:val="single" w:color="auto" w:sz="4" w:space="0"/>
              <w:left w:val="single" w:color="auto" w:sz="4" w:space="0"/>
              <w:bottom w:val="single" w:color="auto" w:sz="4" w:space="0"/>
              <w:right w:val="single" w:color="auto" w:sz="8" w:space="0"/>
            </w:tcBorders>
            <w:tcMar>
              <w:top w:w="0" w:type="dxa"/>
              <w:left w:w="0" w:type="dxa"/>
              <w:right w:w="0" w:type="dxa"/>
            </w:tcMar>
            <w:vAlign w:val="center"/>
          </w:tcPr>
          <w:p w14:paraId="7F7EC9E2">
            <w:pPr>
              <w:snapToGrid w:val="0"/>
              <w:ind w:left="28" w:leftChars="10" w:right="14" w:rightChars="5"/>
              <w:jc w:val="left"/>
              <w:rPr>
                <w:color w:val="auto"/>
                <w:sz w:val="21"/>
                <w:szCs w:val="21"/>
              </w:rPr>
            </w:pPr>
            <w:r>
              <w:rPr>
                <w:rFonts w:hint="eastAsia"/>
                <w:color w:val="auto"/>
                <w:sz w:val="21"/>
                <w:szCs w:val="21"/>
              </w:rPr>
              <w:t>车站信号楼通信机房、中继站（</w:t>
            </w:r>
            <w:bookmarkStart w:id="542" w:name="_Hlk56053133"/>
            <w:r>
              <w:rPr>
                <w:rFonts w:hint="eastAsia"/>
                <w:color w:val="auto"/>
                <w:sz w:val="21"/>
                <w:szCs w:val="21"/>
              </w:rPr>
              <w:t>含与中继站共址区间基站</w:t>
            </w:r>
            <w:bookmarkEnd w:id="542"/>
            <w:r>
              <w:rPr>
                <w:rFonts w:hint="eastAsia"/>
                <w:color w:val="auto"/>
                <w:sz w:val="21"/>
                <w:szCs w:val="21"/>
              </w:rPr>
              <w:t>）</w:t>
            </w:r>
          </w:p>
        </w:tc>
      </w:tr>
      <w:tr w14:paraId="166B34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168" w:type="pct"/>
            <w:tcBorders>
              <w:top w:val="single" w:color="auto" w:sz="4" w:space="0"/>
              <w:left w:val="single" w:color="auto" w:sz="8" w:space="0"/>
              <w:bottom w:val="single" w:color="auto" w:sz="4" w:space="0"/>
              <w:right w:val="single" w:color="auto" w:sz="4" w:space="0"/>
            </w:tcBorders>
            <w:tcMar>
              <w:top w:w="0" w:type="dxa"/>
              <w:left w:w="0" w:type="dxa"/>
              <w:right w:w="0" w:type="dxa"/>
            </w:tcMar>
            <w:vAlign w:val="center"/>
          </w:tcPr>
          <w:p w14:paraId="1D8AFE6D">
            <w:pPr>
              <w:snapToGrid w:val="0"/>
              <w:jc w:val="center"/>
              <w:rPr>
                <w:color w:val="auto"/>
                <w:sz w:val="21"/>
                <w:szCs w:val="21"/>
              </w:rPr>
            </w:pPr>
            <w:r>
              <w:rPr>
                <w:color w:val="auto"/>
                <w:sz w:val="21"/>
                <w:szCs w:val="21"/>
              </w:rPr>
              <w:t>B</w:t>
            </w:r>
          </w:p>
        </w:tc>
        <w:tc>
          <w:tcPr>
            <w:tcW w:w="3832" w:type="pct"/>
            <w:tcBorders>
              <w:top w:val="single" w:color="auto" w:sz="4" w:space="0"/>
              <w:left w:val="single" w:color="auto" w:sz="4" w:space="0"/>
              <w:bottom w:val="single" w:color="auto" w:sz="4" w:space="0"/>
              <w:right w:val="single" w:color="auto" w:sz="8" w:space="0"/>
            </w:tcBorders>
            <w:tcMar>
              <w:top w:w="0" w:type="dxa"/>
              <w:left w:w="0" w:type="dxa"/>
              <w:right w:w="0" w:type="dxa"/>
            </w:tcMar>
            <w:vAlign w:val="center"/>
          </w:tcPr>
          <w:p w14:paraId="784F548A">
            <w:pPr>
              <w:snapToGrid w:val="0"/>
              <w:ind w:left="28" w:leftChars="10" w:right="14" w:rightChars="5"/>
              <w:jc w:val="left"/>
              <w:rPr>
                <w:color w:val="auto"/>
                <w:sz w:val="21"/>
                <w:szCs w:val="21"/>
              </w:rPr>
            </w:pPr>
            <w:r>
              <w:rPr>
                <w:rFonts w:hint="eastAsia"/>
                <w:color w:val="auto"/>
                <w:sz w:val="21"/>
                <w:szCs w:val="21"/>
              </w:rPr>
              <w:t>通信基站</w:t>
            </w:r>
          </w:p>
        </w:tc>
      </w:tr>
      <w:tr w14:paraId="47E856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168" w:type="pct"/>
            <w:tcBorders>
              <w:top w:val="single" w:color="auto" w:sz="4" w:space="0"/>
              <w:left w:val="single" w:color="auto" w:sz="8" w:space="0"/>
              <w:bottom w:val="single" w:color="auto" w:sz="8" w:space="0"/>
              <w:right w:val="single" w:color="auto" w:sz="4" w:space="0"/>
            </w:tcBorders>
            <w:tcMar>
              <w:top w:w="0" w:type="dxa"/>
              <w:left w:w="0" w:type="dxa"/>
              <w:right w:w="0" w:type="dxa"/>
            </w:tcMar>
            <w:vAlign w:val="center"/>
          </w:tcPr>
          <w:p w14:paraId="29BBDBE3">
            <w:pPr>
              <w:snapToGrid w:val="0"/>
              <w:jc w:val="center"/>
              <w:rPr>
                <w:color w:val="auto"/>
                <w:sz w:val="21"/>
                <w:szCs w:val="21"/>
              </w:rPr>
            </w:pPr>
            <w:r>
              <w:rPr>
                <w:color w:val="auto"/>
                <w:sz w:val="21"/>
                <w:szCs w:val="21"/>
              </w:rPr>
              <w:t>C</w:t>
            </w:r>
          </w:p>
        </w:tc>
        <w:tc>
          <w:tcPr>
            <w:tcW w:w="3832" w:type="pct"/>
            <w:tcBorders>
              <w:top w:val="single" w:color="auto" w:sz="4" w:space="0"/>
              <w:left w:val="single" w:color="auto" w:sz="4" w:space="0"/>
              <w:bottom w:val="single" w:color="auto" w:sz="8" w:space="0"/>
              <w:right w:val="single" w:color="auto" w:sz="8" w:space="0"/>
            </w:tcBorders>
            <w:tcMar>
              <w:top w:w="0" w:type="dxa"/>
              <w:left w:w="0" w:type="dxa"/>
              <w:right w:w="0" w:type="dxa"/>
            </w:tcMar>
            <w:vAlign w:val="center"/>
          </w:tcPr>
          <w:p w14:paraId="26EF5DA5">
            <w:pPr>
              <w:snapToGrid w:val="0"/>
              <w:ind w:left="28" w:leftChars="10" w:right="14" w:rightChars="5"/>
              <w:jc w:val="left"/>
              <w:rPr>
                <w:color w:val="auto"/>
                <w:sz w:val="21"/>
                <w:szCs w:val="21"/>
              </w:rPr>
            </w:pPr>
            <w:r>
              <w:rPr>
                <w:rFonts w:hint="eastAsia"/>
                <w:color w:val="auto"/>
                <w:sz w:val="21"/>
                <w:szCs w:val="21"/>
              </w:rPr>
              <w:t>除</w:t>
            </w:r>
            <w:r>
              <w:rPr>
                <w:color w:val="auto"/>
                <w:sz w:val="21"/>
                <w:szCs w:val="21"/>
              </w:rPr>
              <w:t>A</w:t>
            </w:r>
            <w:r>
              <w:rPr>
                <w:rFonts w:hint="eastAsia"/>
                <w:color w:val="auto"/>
                <w:sz w:val="21"/>
                <w:szCs w:val="21"/>
              </w:rPr>
              <w:t>、</w:t>
            </w:r>
            <w:r>
              <w:rPr>
                <w:color w:val="auto"/>
                <w:sz w:val="21"/>
                <w:szCs w:val="21"/>
              </w:rPr>
              <w:t>B</w:t>
            </w:r>
            <w:r>
              <w:rPr>
                <w:rFonts w:hint="eastAsia"/>
                <w:color w:val="auto"/>
                <w:sz w:val="21"/>
                <w:szCs w:val="21"/>
              </w:rPr>
              <w:t>级以外的其他通信机房</w:t>
            </w:r>
          </w:p>
        </w:tc>
      </w:tr>
    </w:tbl>
    <w:p w14:paraId="373981F8">
      <w:pPr>
        <w:spacing w:before="120"/>
        <w:ind w:firstLine="420" w:firstLineChars="200"/>
        <w:rPr>
          <w:color w:val="auto"/>
          <w:sz w:val="21"/>
          <w:szCs w:val="21"/>
        </w:rPr>
      </w:pPr>
      <w:r>
        <w:rPr>
          <w:color w:val="auto"/>
          <w:sz w:val="21"/>
          <w:szCs w:val="21"/>
        </w:rPr>
        <w:t>2</w:t>
      </w:r>
      <w:r>
        <w:rPr>
          <w:rFonts w:hint="eastAsia"/>
          <w:color w:val="auto"/>
          <w:sz w:val="21"/>
          <w:szCs w:val="21"/>
        </w:rPr>
        <w:t>．通信铁塔及天馈、杆、场坪防雷及接地</w:t>
      </w:r>
    </w:p>
    <w:p w14:paraId="343BD3BF">
      <w:pPr>
        <w:ind w:firstLine="420" w:firstLineChars="200"/>
        <w:rPr>
          <w:color w:val="auto"/>
          <w:sz w:val="21"/>
          <w:szCs w:val="21"/>
        </w:rPr>
      </w:pPr>
      <w:r>
        <w:rPr>
          <w:rFonts w:hint="eastAsia"/>
          <w:color w:val="auto"/>
          <w:sz w:val="21"/>
          <w:szCs w:val="21"/>
        </w:rPr>
        <w:t>杆、塔均应设置接闪器、引下线及接地装置，并确保安装于其上的设备、线缆处于接闪器保护范围内。铁塔的接闪器应采用两根截面积不小于</w:t>
      </w:r>
      <w:r>
        <w:rPr>
          <w:color w:val="auto"/>
          <w:sz w:val="21"/>
          <w:szCs w:val="21"/>
        </w:rPr>
        <w:t>40mm*4mm</w:t>
      </w:r>
      <w:r>
        <w:rPr>
          <w:rFonts w:hint="eastAsia"/>
          <w:color w:val="auto"/>
          <w:sz w:val="21"/>
          <w:szCs w:val="21"/>
        </w:rPr>
        <w:t>热镀锌扁钢作为引下线与铁塔接地体连接。接闪器高度应保证天线及铁塔在避雷范围以内。</w:t>
      </w:r>
    </w:p>
    <w:p w14:paraId="76371941">
      <w:pPr>
        <w:ind w:firstLine="420" w:firstLineChars="200"/>
        <w:rPr>
          <w:color w:val="auto"/>
          <w:sz w:val="21"/>
          <w:szCs w:val="21"/>
        </w:rPr>
      </w:pPr>
      <w:r>
        <w:rPr>
          <w:rFonts w:hint="eastAsia"/>
          <w:color w:val="auto"/>
          <w:sz w:val="21"/>
          <w:szCs w:val="21"/>
        </w:rPr>
        <w:t>杆、塔接地体与机房接地体边缘距离在</w:t>
      </w:r>
      <w:r>
        <w:rPr>
          <w:color w:val="auto"/>
          <w:sz w:val="21"/>
          <w:szCs w:val="21"/>
        </w:rPr>
        <w:t>15m</w:t>
      </w:r>
      <w:r>
        <w:rPr>
          <w:rFonts w:hint="eastAsia"/>
          <w:color w:val="auto"/>
          <w:sz w:val="21"/>
          <w:szCs w:val="21"/>
        </w:rPr>
        <w:t>及以内时，二者互相连接，连接点不少于两点，连接点间距不小于</w:t>
      </w:r>
      <w:r>
        <w:rPr>
          <w:color w:val="auto"/>
          <w:sz w:val="21"/>
          <w:szCs w:val="21"/>
        </w:rPr>
        <w:t>5m</w:t>
      </w:r>
      <w:r>
        <w:rPr>
          <w:rFonts w:hint="eastAsia"/>
          <w:color w:val="auto"/>
          <w:sz w:val="21"/>
          <w:szCs w:val="21"/>
        </w:rPr>
        <w:t>。</w:t>
      </w:r>
    </w:p>
    <w:p w14:paraId="3AD0CEC5">
      <w:pPr>
        <w:ind w:firstLine="420" w:firstLineChars="200"/>
        <w:rPr>
          <w:color w:val="auto"/>
          <w:sz w:val="21"/>
          <w:szCs w:val="21"/>
        </w:rPr>
      </w:pPr>
      <w:r>
        <w:rPr>
          <w:rFonts w:hint="eastAsia"/>
          <w:color w:val="auto"/>
          <w:sz w:val="21"/>
          <w:szCs w:val="21"/>
        </w:rPr>
        <w:t>天线馈线为同轴电缆，加装保护装置馈线感应雷保护器，防止感应雷通过馈线传播损坏设备。天馈线金属外护层分别在天线处、离塔</w:t>
      </w:r>
      <w:r>
        <w:rPr>
          <w:color w:val="auto"/>
          <w:sz w:val="21"/>
          <w:szCs w:val="21"/>
        </w:rPr>
        <w:t>/</w:t>
      </w:r>
      <w:r>
        <w:rPr>
          <w:rFonts w:hint="eastAsia"/>
          <w:color w:val="auto"/>
          <w:sz w:val="21"/>
          <w:szCs w:val="21"/>
        </w:rPr>
        <w:t>杆处及房屋入口处外侧就近接地。馈线长度大于</w:t>
      </w:r>
      <w:r>
        <w:rPr>
          <w:color w:val="auto"/>
          <w:sz w:val="21"/>
          <w:szCs w:val="21"/>
        </w:rPr>
        <w:t>60m</w:t>
      </w:r>
      <w:r>
        <w:rPr>
          <w:rFonts w:hint="eastAsia"/>
          <w:color w:val="auto"/>
          <w:sz w:val="21"/>
          <w:szCs w:val="21"/>
        </w:rPr>
        <w:t>时，铁塔中部增加一个接地点。每条天馈线均设置</w:t>
      </w:r>
      <w:r>
        <w:rPr>
          <w:color w:val="auto"/>
          <w:sz w:val="21"/>
          <w:szCs w:val="21"/>
        </w:rPr>
        <w:t>SPD</w:t>
      </w:r>
      <w:r>
        <w:rPr>
          <w:rFonts w:hint="eastAsia"/>
          <w:color w:val="auto"/>
          <w:sz w:val="21"/>
          <w:szCs w:val="21"/>
        </w:rPr>
        <w:t>，接地线接入室外接地汇集线。</w:t>
      </w:r>
    </w:p>
    <w:p w14:paraId="779934A7">
      <w:pPr>
        <w:ind w:firstLine="420" w:firstLineChars="200"/>
        <w:rPr>
          <w:color w:val="auto"/>
          <w:sz w:val="21"/>
          <w:szCs w:val="21"/>
        </w:rPr>
      </w:pPr>
      <w:r>
        <w:rPr>
          <w:rFonts w:hint="eastAsia"/>
          <w:color w:val="auto"/>
          <w:sz w:val="21"/>
          <w:szCs w:val="21"/>
        </w:rPr>
        <w:t>铁塔接地体距离贯通地线</w:t>
      </w:r>
      <w:r>
        <w:rPr>
          <w:color w:val="auto"/>
          <w:sz w:val="21"/>
          <w:szCs w:val="21"/>
        </w:rPr>
        <w:t>20m</w:t>
      </w:r>
      <w:r>
        <w:rPr>
          <w:rFonts w:hint="eastAsia"/>
          <w:color w:val="auto"/>
          <w:sz w:val="21"/>
          <w:szCs w:val="21"/>
        </w:rPr>
        <w:t>及以内时，应就近与贯通地线引接线等电位连接。通信站、车站、段所及与贯通地线相连接的铁塔接地电阻应不大于</w:t>
      </w:r>
      <w:r>
        <w:rPr>
          <w:color w:val="auto"/>
          <w:sz w:val="21"/>
          <w:szCs w:val="21"/>
        </w:rPr>
        <w:t>1</w:t>
      </w:r>
      <w:r>
        <w:rPr>
          <w:rFonts w:hint="eastAsia"/>
          <w:color w:val="auto"/>
          <w:sz w:val="21"/>
          <w:szCs w:val="21"/>
        </w:rPr>
        <w:t>欧姆，区间基站、区间设备点与机房接地体相连的铁塔接地电阻应不大于</w:t>
      </w:r>
      <w:r>
        <w:rPr>
          <w:color w:val="auto"/>
          <w:sz w:val="21"/>
          <w:szCs w:val="21"/>
        </w:rPr>
        <w:t>1</w:t>
      </w:r>
      <w:r>
        <w:rPr>
          <w:rFonts w:hint="eastAsia"/>
          <w:color w:val="auto"/>
          <w:sz w:val="21"/>
          <w:szCs w:val="21"/>
        </w:rPr>
        <w:t>欧姆，独立设置地网的铁塔接地电阻应不大于</w:t>
      </w:r>
      <w:r>
        <w:rPr>
          <w:color w:val="auto"/>
          <w:sz w:val="21"/>
          <w:szCs w:val="21"/>
        </w:rPr>
        <w:t>10</w:t>
      </w:r>
      <w:r>
        <w:rPr>
          <w:rFonts w:hint="eastAsia"/>
          <w:color w:val="auto"/>
          <w:sz w:val="21"/>
          <w:szCs w:val="21"/>
        </w:rPr>
        <w:t>欧姆。</w:t>
      </w:r>
    </w:p>
    <w:p w14:paraId="4B85E9BF">
      <w:pPr>
        <w:ind w:firstLine="420" w:firstLineChars="200"/>
        <w:rPr>
          <w:color w:val="auto"/>
          <w:sz w:val="21"/>
          <w:szCs w:val="21"/>
        </w:rPr>
      </w:pPr>
      <w:r>
        <w:rPr>
          <w:rFonts w:hint="eastAsia"/>
          <w:color w:val="auto"/>
          <w:sz w:val="21"/>
          <w:szCs w:val="21"/>
        </w:rPr>
        <w:t>当铁塔、电杆、视频杆或塔的接地装置距离综合接地系统的贯通地线</w:t>
      </w:r>
      <w:r>
        <w:rPr>
          <w:color w:val="auto"/>
          <w:sz w:val="21"/>
          <w:szCs w:val="21"/>
        </w:rPr>
        <w:t>20</w:t>
      </w:r>
      <w:r>
        <w:rPr>
          <w:rFonts w:hint="eastAsia"/>
          <w:color w:val="auto"/>
          <w:sz w:val="21"/>
          <w:szCs w:val="21"/>
        </w:rPr>
        <w:t>米以内时，接入综合接地系统（两处，相距</w:t>
      </w:r>
      <w:r>
        <w:rPr>
          <w:color w:val="auto"/>
          <w:sz w:val="21"/>
          <w:szCs w:val="21"/>
        </w:rPr>
        <w:t>5m</w:t>
      </w:r>
      <w:r>
        <w:rPr>
          <w:rFonts w:hint="eastAsia"/>
          <w:color w:val="auto"/>
          <w:sz w:val="21"/>
          <w:szCs w:val="21"/>
        </w:rPr>
        <w:t>以上）。当距离大于</w:t>
      </w:r>
      <w:r>
        <w:rPr>
          <w:color w:val="auto"/>
          <w:sz w:val="21"/>
          <w:szCs w:val="21"/>
        </w:rPr>
        <w:t>20m</w:t>
      </w:r>
      <w:r>
        <w:rPr>
          <w:rFonts w:hint="eastAsia"/>
          <w:color w:val="auto"/>
          <w:sz w:val="21"/>
          <w:szCs w:val="21"/>
        </w:rPr>
        <w:t>时，可不与贯通地线相连，但需单独接地。</w:t>
      </w:r>
    </w:p>
    <w:p w14:paraId="6B65209F">
      <w:pPr>
        <w:ind w:firstLine="420" w:firstLineChars="200"/>
        <w:rPr>
          <w:color w:val="auto"/>
          <w:sz w:val="21"/>
          <w:szCs w:val="21"/>
        </w:rPr>
      </w:pPr>
      <w:r>
        <w:rPr>
          <w:rFonts w:hint="eastAsia"/>
          <w:color w:val="auto"/>
          <w:sz w:val="21"/>
          <w:szCs w:val="21"/>
        </w:rPr>
        <w:t>室外设置的室外摄像机处均设置设备箱，用于防雷、电源转换，设备箱应接地连接，在距离综合接地系统的贯通地线</w:t>
      </w:r>
      <w:r>
        <w:rPr>
          <w:color w:val="auto"/>
          <w:sz w:val="21"/>
          <w:szCs w:val="21"/>
        </w:rPr>
        <w:t>20</w:t>
      </w:r>
      <w:r>
        <w:rPr>
          <w:rFonts w:hint="eastAsia"/>
          <w:color w:val="auto"/>
          <w:sz w:val="21"/>
          <w:szCs w:val="21"/>
        </w:rPr>
        <w:t>米以内时，应接入综合接地系统。</w:t>
      </w:r>
    </w:p>
    <w:p w14:paraId="21A1649B">
      <w:pPr>
        <w:ind w:firstLine="420" w:firstLineChars="200"/>
        <w:rPr>
          <w:color w:val="auto"/>
          <w:sz w:val="21"/>
          <w:szCs w:val="21"/>
        </w:rPr>
      </w:pPr>
      <w:r>
        <w:rPr>
          <w:rFonts w:hint="eastAsia"/>
          <w:color w:val="auto"/>
          <w:sz w:val="21"/>
          <w:szCs w:val="21"/>
        </w:rPr>
        <w:t>室外所有设备的金属外壳、连接室外设备的线缆金属外层及金属加强芯、金属管槽、设备及防雷器件所需的各种接地均应就近接地。室外走线架两端均接地。</w:t>
      </w:r>
    </w:p>
    <w:p w14:paraId="479D5710">
      <w:pPr>
        <w:ind w:firstLine="412" w:firstLineChars="200"/>
        <w:rPr>
          <w:color w:val="auto"/>
          <w:spacing w:val="-2"/>
          <w:sz w:val="21"/>
          <w:szCs w:val="21"/>
        </w:rPr>
      </w:pPr>
      <w:r>
        <w:rPr>
          <w:rFonts w:hint="eastAsia"/>
          <w:color w:val="auto"/>
          <w:spacing w:val="-2"/>
          <w:sz w:val="21"/>
          <w:szCs w:val="21"/>
        </w:rPr>
        <w:t>沿线无线基站、隧道外直放站等处设置室外场坪接地体，场坪接地装置距离综合接地系统的贯通地线</w:t>
      </w:r>
      <w:r>
        <w:rPr>
          <w:color w:val="auto"/>
          <w:spacing w:val="-2"/>
          <w:sz w:val="21"/>
          <w:szCs w:val="21"/>
        </w:rPr>
        <w:t>20</w:t>
      </w:r>
      <w:r>
        <w:rPr>
          <w:rFonts w:hint="eastAsia"/>
          <w:color w:val="auto"/>
          <w:spacing w:val="-2"/>
          <w:sz w:val="21"/>
          <w:szCs w:val="21"/>
        </w:rPr>
        <w:t>米以内时，接入综合接地系统。其他区间节点（如：牵引变电所、分区所、电力配电所等）的室外接地体由相关专业设置。</w:t>
      </w:r>
    </w:p>
    <w:p w14:paraId="7A21E8F6">
      <w:pPr>
        <w:ind w:firstLine="420" w:firstLineChars="200"/>
        <w:rPr>
          <w:color w:val="auto"/>
          <w:sz w:val="21"/>
          <w:szCs w:val="21"/>
        </w:rPr>
      </w:pPr>
      <w:r>
        <w:rPr>
          <w:color w:val="auto"/>
          <w:sz w:val="21"/>
          <w:szCs w:val="21"/>
        </w:rPr>
        <w:t>3</w:t>
      </w:r>
      <w:r>
        <w:rPr>
          <w:rFonts w:hint="eastAsia"/>
          <w:color w:val="auto"/>
          <w:sz w:val="21"/>
          <w:szCs w:val="21"/>
        </w:rPr>
        <w:t>．通信线缆防雷及接地</w:t>
      </w:r>
    </w:p>
    <w:p w14:paraId="01F311A5">
      <w:pPr>
        <w:ind w:firstLine="420" w:firstLineChars="200"/>
        <w:rPr>
          <w:color w:val="auto"/>
          <w:sz w:val="21"/>
          <w:szCs w:val="21"/>
        </w:rPr>
      </w:pPr>
      <w:r>
        <w:rPr>
          <w:rFonts w:hint="eastAsia"/>
          <w:color w:val="auto"/>
          <w:sz w:val="21"/>
          <w:szCs w:val="21"/>
        </w:rPr>
        <w:t>室外光缆引入室内前，在引入室</w:t>
      </w:r>
      <w:r>
        <w:rPr>
          <w:color w:val="auto"/>
          <w:sz w:val="21"/>
          <w:szCs w:val="21"/>
        </w:rPr>
        <w:t>/</w:t>
      </w:r>
      <w:r>
        <w:rPr>
          <w:rFonts w:hint="eastAsia"/>
          <w:color w:val="auto"/>
          <w:sz w:val="21"/>
          <w:szCs w:val="21"/>
        </w:rPr>
        <w:t>室外引入井内做绝缘节，</w:t>
      </w:r>
      <w:r>
        <w:rPr>
          <w:color w:val="auto"/>
          <w:sz w:val="21"/>
          <w:szCs w:val="21"/>
        </w:rPr>
        <w:t xml:space="preserve"> </w:t>
      </w:r>
      <w:r>
        <w:rPr>
          <w:rFonts w:hint="eastAsia"/>
          <w:color w:val="auto"/>
          <w:sz w:val="21"/>
          <w:szCs w:val="21"/>
        </w:rPr>
        <w:t>所有光电缆护套、铠装、屏蔽层以及光缆金属加强芯应在引入室</w:t>
      </w:r>
      <w:r>
        <w:rPr>
          <w:color w:val="auto"/>
          <w:sz w:val="21"/>
          <w:szCs w:val="21"/>
        </w:rPr>
        <w:t>/</w:t>
      </w:r>
      <w:r>
        <w:rPr>
          <w:rFonts w:hint="eastAsia"/>
          <w:color w:val="auto"/>
          <w:sz w:val="21"/>
          <w:szCs w:val="21"/>
        </w:rPr>
        <w:t>室外引入井内接地，室内、外金属护套及金属加强件彼此绝缘。</w:t>
      </w:r>
    </w:p>
    <w:p w14:paraId="64F8862F">
      <w:pPr>
        <w:ind w:firstLine="420" w:firstLineChars="200"/>
        <w:rPr>
          <w:color w:val="auto"/>
          <w:sz w:val="21"/>
          <w:szCs w:val="21"/>
        </w:rPr>
      </w:pPr>
      <w:r>
        <w:rPr>
          <w:rFonts w:hint="eastAsia"/>
          <w:color w:val="auto"/>
          <w:sz w:val="21"/>
          <w:szCs w:val="21"/>
        </w:rPr>
        <w:t>室内所有设备的金属外壳、机柜、机架、线缆金属外层及加强芯、金属槽架、设备及防雷器件所需的各种接地均应以最短的距离与接地基准点或接地网格连接。</w:t>
      </w:r>
    </w:p>
    <w:p w14:paraId="2D40AF77">
      <w:pPr>
        <w:ind w:firstLine="420" w:firstLineChars="200"/>
        <w:rPr>
          <w:color w:val="auto"/>
          <w:sz w:val="21"/>
          <w:szCs w:val="21"/>
        </w:rPr>
      </w:pPr>
      <w:r>
        <w:rPr>
          <w:rFonts w:hint="eastAsia"/>
          <w:color w:val="auto"/>
          <w:sz w:val="21"/>
          <w:szCs w:val="21"/>
        </w:rPr>
        <w:t>对通信电缆实回线剩余线对、信号系统、电力电气化</w:t>
      </w:r>
      <w:r>
        <w:rPr>
          <w:color w:val="auto"/>
          <w:sz w:val="21"/>
          <w:szCs w:val="21"/>
        </w:rPr>
        <w:t>SCADA</w:t>
      </w:r>
      <w:r>
        <w:rPr>
          <w:rFonts w:hint="eastAsia"/>
          <w:color w:val="auto"/>
          <w:sz w:val="21"/>
          <w:szCs w:val="21"/>
        </w:rPr>
        <w:t>系统、信息系统、防灾系统要求通信专业所需敷设的线缆进行防雷处理。</w:t>
      </w:r>
    </w:p>
    <w:p w14:paraId="25983269">
      <w:pPr>
        <w:ind w:firstLine="420" w:firstLineChars="200"/>
        <w:rPr>
          <w:color w:val="auto"/>
          <w:sz w:val="21"/>
          <w:szCs w:val="21"/>
        </w:rPr>
      </w:pPr>
      <w:r>
        <w:rPr>
          <w:rFonts w:hint="eastAsia"/>
          <w:color w:val="auto"/>
          <w:sz w:val="21"/>
          <w:szCs w:val="21"/>
        </w:rPr>
        <w:t>室外电缆金属护套、铠装、屏蔽层均应接地；接地间距不大于</w:t>
      </w:r>
      <w:r>
        <w:rPr>
          <w:color w:val="auto"/>
          <w:sz w:val="21"/>
          <w:szCs w:val="21"/>
        </w:rPr>
        <w:t>4km</w:t>
      </w:r>
      <w:r>
        <w:rPr>
          <w:rFonts w:hint="eastAsia"/>
          <w:color w:val="auto"/>
          <w:sz w:val="21"/>
          <w:szCs w:val="21"/>
        </w:rPr>
        <w:t>，雷害严重的地段间距宜适当缩短；接地电阻值不应大于</w:t>
      </w:r>
      <w:r>
        <w:rPr>
          <w:color w:val="auto"/>
          <w:sz w:val="21"/>
          <w:szCs w:val="21"/>
        </w:rPr>
        <w:t>4</w:t>
      </w:r>
      <w:r>
        <w:rPr>
          <w:rFonts w:hint="eastAsia"/>
          <w:color w:val="auto"/>
          <w:sz w:val="21"/>
          <w:szCs w:val="21"/>
        </w:rPr>
        <w:t>Ω，困难地段宜不大于</w:t>
      </w:r>
      <w:r>
        <w:rPr>
          <w:color w:val="auto"/>
          <w:sz w:val="21"/>
          <w:szCs w:val="21"/>
        </w:rPr>
        <w:t>10</w:t>
      </w:r>
      <w:r>
        <w:rPr>
          <w:rFonts w:hint="eastAsia"/>
          <w:color w:val="auto"/>
          <w:sz w:val="21"/>
          <w:szCs w:val="21"/>
        </w:rPr>
        <w:t>Ω。</w:t>
      </w:r>
    </w:p>
    <w:p w14:paraId="5AD2B93D">
      <w:pPr>
        <w:ind w:firstLine="420" w:firstLineChars="200"/>
        <w:rPr>
          <w:color w:val="auto"/>
          <w:sz w:val="21"/>
          <w:szCs w:val="21"/>
        </w:rPr>
      </w:pPr>
      <w:r>
        <w:rPr>
          <w:rFonts w:hint="eastAsia"/>
          <w:color w:val="auto"/>
          <w:sz w:val="21"/>
          <w:szCs w:val="21"/>
        </w:rPr>
        <w:t>室外光缆接续不设地线，接头两侧的金属护套及金属加强芯应相互绝缘。</w:t>
      </w:r>
    </w:p>
    <w:p w14:paraId="611943DB">
      <w:pPr>
        <w:ind w:firstLine="420" w:firstLineChars="200"/>
        <w:rPr>
          <w:color w:val="auto"/>
          <w:sz w:val="21"/>
          <w:szCs w:val="21"/>
        </w:rPr>
      </w:pPr>
      <w:r>
        <w:rPr>
          <w:rFonts w:hint="eastAsia"/>
          <w:color w:val="auto"/>
          <w:sz w:val="21"/>
          <w:szCs w:val="21"/>
        </w:rPr>
        <w:t>光缆接续时，两侧的金属外护套、金属加强芯应电气绝缘断开，处于悬浮状态；电缆接续时，两侧的金属外护层及屏蔽钢带应有效连通。</w:t>
      </w:r>
    </w:p>
    <w:p w14:paraId="214D1B93">
      <w:pPr>
        <w:ind w:firstLine="420" w:firstLineChars="200"/>
        <w:rPr>
          <w:color w:val="auto"/>
          <w:sz w:val="21"/>
          <w:szCs w:val="21"/>
          <w:lang w:val="fr-FR"/>
        </w:rPr>
      </w:pPr>
      <w:r>
        <w:rPr>
          <w:rFonts w:hint="eastAsia"/>
          <w:color w:val="auto"/>
          <w:sz w:val="21"/>
          <w:szCs w:val="21"/>
        </w:rPr>
        <w:t>连接室外设备的金属线缆，两端芯线均安装</w:t>
      </w:r>
      <w:r>
        <w:rPr>
          <w:color w:val="auto"/>
          <w:sz w:val="21"/>
          <w:szCs w:val="21"/>
        </w:rPr>
        <w:t>SPD</w:t>
      </w:r>
      <w:r>
        <w:rPr>
          <w:rFonts w:hint="eastAsia"/>
          <w:color w:val="auto"/>
          <w:sz w:val="21"/>
          <w:szCs w:val="21"/>
        </w:rPr>
        <w:t>或采取其他雷电防护措施。</w:t>
      </w:r>
    </w:p>
    <w:p w14:paraId="2627A946">
      <w:pPr>
        <w:pStyle w:val="8"/>
        <w:rPr>
          <w:rFonts w:hint="eastAsia"/>
          <w:color w:val="auto"/>
          <w:kern w:val="2"/>
          <w:sz w:val="21"/>
          <w:szCs w:val="21"/>
        </w:rPr>
      </w:pPr>
      <w:bookmarkStart w:id="543" w:name="_Toc435524179"/>
      <w:bookmarkEnd w:id="543"/>
      <w:bookmarkStart w:id="544" w:name="_Toc436830424"/>
      <w:bookmarkEnd w:id="544"/>
      <w:bookmarkStart w:id="545" w:name="_Toc436830427"/>
      <w:bookmarkEnd w:id="545"/>
      <w:bookmarkStart w:id="546" w:name="_Toc435525177"/>
      <w:bookmarkEnd w:id="546"/>
      <w:bookmarkStart w:id="547" w:name="_Toc435524184"/>
      <w:bookmarkEnd w:id="547"/>
      <w:bookmarkStart w:id="548" w:name="_Toc435525179"/>
      <w:bookmarkEnd w:id="548"/>
      <w:bookmarkStart w:id="549" w:name="_Toc435523969"/>
      <w:bookmarkEnd w:id="549"/>
      <w:bookmarkStart w:id="550" w:name="_Toc435524186"/>
      <w:bookmarkEnd w:id="550"/>
      <w:bookmarkStart w:id="551" w:name="_Toc435524181"/>
      <w:bookmarkEnd w:id="551"/>
      <w:bookmarkStart w:id="552" w:name="_Toc435525174"/>
      <w:bookmarkEnd w:id="552"/>
      <w:bookmarkStart w:id="553" w:name="_Toc435523972"/>
      <w:bookmarkEnd w:id="553"/>
      <w:bookmarkStart w:id="554" w:name="_Toc435524177"/>
      <w:bookmarkEnd w:id="554"/>
      <w:bookmarkStart w:id="555" w:name="_Toc436830425"/>
      <w:bookmarkEnd w:id="555"/>
      <w:bookmarkStart w:id="556" w:name="_Toc435525171"/>
      <w:bookmarkEnd w:id="556"/>
      <w:bookmarkStart w:id="557" w:name="_Toc435525176"/>
      <w:bookmarkEnd w:id="557"/>
      <w:bookmarkStart w:id="558" w:name="_Toc435525175"/>
      <w:bookmarkEnd w:id="558"/>
      <w:bookmarkStart w:id="559" w:name="_Toc435525172"/>
      <w:bookmarkEnd w:id="559"/>
      <w:bookmarkStart w:id="560" w:name="_Toc435525173"/>
      <w:bookmarkEnd w:id="560"/>
      <w:bookmarkStart w:id="561" w:name="_Toc436830433"/>
      <w:bookmarkEnd w:id="561"/>
      <w:bookmarkStart w:id="562" w:name="_Toc436830430"/>
      <w:bookmarkEnd w:id="562"/>
      <w:bookmarkStart w:id="563" w:name="_Toc435524183"/>
      <w:bookmarkEnd w:id="563"/>
      <w:bookmarkStart w:id="564" w:name="_Toc435525178"/>
      <w:bookmarkEnd w:id="564"/>
      <w:bookmarkStart w:id="565" w:name="_Toc435524185"/>
      <w:bookmarkEnd w:id="565"/>
      <w:bookmarkStart w:id="566" w:name="_Toc435523973"/>
      <w:bookmarkEnd w:id="566"/>
      <w:bookmarkStart w:id="567" w:name="_Toc436830429"/>
      <w:bookmarkEnd w:id="567"/>
      <w:bookmarkStart w:id="568" w:name="_Toc435523967"/>
      <w:bookmarkEnd w:id="568"/>
      <w:bookmarkStart w:id="569" w:name="_Toc435524182"/>
      <w:bookmarkEnd w:id="569"/>
      <w:bookmarkStart w:id="570" w:name="_Toc435523974"/>
      <w:bookmarkEnd w:id="570"/>
      <w:bookmarkStart w:id="571" w:name="_Toc435524178"/>
      <w:bookmarkEnd w:id="571"/>
      <w:bookmarkStart w:id="572" w:name="_Toc435524180"/>
      <w:bookmarkEnd w:id="572"/>
      <w:bookmarkStart w:id="573" w:name="_Toc435523970"/>
      <w:bookmarkEnd w:id="573"/>
      <w:bookmarkStart w:id="574" w:name="_Toc435523965"/>
      <w:bookmarkEnd w:id="574"/>
      <w:bookmarkStart w:id="575" w:name="_Toc436830426"/>
      <w:bookmarkEnd w:id="575"/>
      <w:bookmarkStart w:id="576" w:name="_Toc435523966"/>
      <w:bookmarkEnd w:id="576"/>
      <w:bookmarkStart w:id="577" w:name="_Toc435523968"/>
      <w:bookmarkEnd w:id="577"/>
      <w:bookmarkStart w:id="578" w:name="_Toc435525170"/>
      <w:bookmarkEnd w:id="578"/>
      <w:bookmarkStart w:id="579" w:name="_Toc436830431"/>
      <w:bookmarkEnd w:id="579"/>
      <w:bookmarkStart w:id="580" w:name="_Toc436830428"/>
      <w:bookmarkEnd w:id="580"/>
      <w:bookmarkStart w:id="581" w:name="_Toc436830432"/>
      <w:bookmarkEnd w:id="581"/>
      <w:bookmarkStart w:id="582" w:name="_Toc435523971"/>
      <w:bookmarkEnd w:id="582"/>
      <w:bookmarkStart w:id="583" w:name="_Toc4185"/>
      <w:r>
        <w:rPr>
          <w:color w:val="auto"/>
          <w:kern w:val="2"/>
          <w:sz w:val="21"/>
          <w:szCs w:val="21"/>
        </w:rPr>
        <w:t>7.</w:t>
      </w:r>
      <w:r>
        <w:rPr>
          <w:rFonts w:hint="eastAsia"/>
          <w:color w:val="auto"/>
          <w:kern w:val="2"/>
          <w:sz w:val="21"/>
          <w:szCs w:val="21"/>
        </w:rPr>
        <w:t>抗震性能要求</w:t>
      </w:r>
      <w:bookmarkEnd w:id="539"/>
      <w:bookmarkEnd w:id="540"/>
      <w:bookmarkEnd w:id="583"/>
    </w:p>
    <w:p w14:paraId="5A95B839">
      <w:pPr>
        <w:pStyle w:val="13"/>
        <w:wordWrap/>
        <w:spacing w:after="0" w:afterLines="0" w:line="240" w:lineRule="auto"/>
        <w:ind w:firstLine="420" w:firstLineChars="200"/>
        <w:rPr>
          <w:rFonts w:hint="eastAsia"/>
          <w:bCs/>
          <w:color w:val="auto"/>
          <w:sz w:val="21"/>
          <w:szCs w:val="21"/>
        </w:rPr>
      </w:pPr>
      <w:r>
        <w:rPr>
          <w:rFonts w:hint="eastAsia"/>
          <w:color w:val="auto"/>
          <w:sz w:val="21"/>
          <w:szCs w:val="21"/>
          <w:lang w:val="fr-FR"/>
        </w:rPr>
        <w:t>应符合国家、行业相关抗震标准的规定，并针对工程情况投标人应在技术建议书中提供具体设备的抗震处理措施。</w:t>
      </w:r>
    </w:p>
    <w:bookmarkEnd w:id="115"/>
    <w:bookmarkEnd w:id="116"/>
    <w:bookmarkEnd w:id="117"/>
    <w:p w14:paraId="4A3F1740">
      <w:pPr>
        <w:pStyle w:val="7"/>
        <w:spacing w:before="191" w:after="191"/>
        <w:rPr>
          <w:rFonts w:hint="eastAsia"/>
          <w:color w:val="auto"/>
          <w:sz w:val="21"/>
          <w:szCs w:val="21"/>
        </w:rPr>
      </w:pPr>
      <w:bookmarkStart w:id="584" w:name="_Toc5540"/>
      <w:bookmarkStart w:id="585" w:name="_Toc406330051"/>
      <w:r>
        <w:rPr>
          <w:rFonts w:hint="eastAsia"/>
          <w:color w:val="auto"/>
          <w:sz w:val="21"/>
          <w:szCs w:val="21"/>
        </w:rPr>
        <w:t>第四篇</w:t>
      </w:r>
      <w:r>
        <w:rPr>
          <w:color w:val="auto"/>
          <w:sz w:val="21"/>
          <w:szCs w:val="21"/>
        </w:rPr>
        <w:t xml:space="preserve">  </w:t>
      </w:r>
      <w:bookmarkStart w:id="586" w:name="_Toc472223159"/>
      <w:bookmarkStart w:id="587" w:name="_Toc115783356"/>
      <w:r>
        <w:rPr>
          <w:rFonts w:hint="eastAsia"/>
          <w:color w:val="auto"/>
          <w:sz w:val="21"/>
          <w:szCs w:val="21"/>
        </w:rPr>
        <w:t>主要技术规格及技术条件</w:t>
      </w:r>
      <w:bookmarkEnd w:id="584"/>
      <w:bookmarkEnd w:id="585"/>
      <w:bookmarkEnd w:id="586"/>
      <w:bookmarkEnd w:id="587"/>
    </w:p>
    <w:p w14:paraId="716BE018">
      <w:pPr>
        <w:pStyle w:val="8"/>
        <w:rPr>
          <w:rFonts w:hint="eastAsia"/>
          <w:color w:val="auto"/>
          <w:kern w:val="2"/>
          <w:sz w:val="21"/>
          <w:szCs w:val="21"/>
        </w:rPr>
      </w:pPr>
      <w:bookmarkStart w:id="588" w:name="_Toc207723036"/>
      <w:bookmarkStart w:id="589" w:name="_Toc245540998"/>
      <w:r>
        <w:rPr>
          <w:rFonts w:hint="eastAsia"/>
          <w:color w:val="auto"/>
          <w:kern w:val="2"/>
          <w:sz w:val="21"/>
          <w:szCs w:val="21"/>
        </w:rPr>
        <w:t>1.</w:t>
      </w:r>
      <w:bookmarkEnd w:id="588"/>
      <w:bookmarkEnd w:id="589"/>
      <w:r>
        <w:rPr>
          <w:rFonts w:hint="eastAsia"/>
          <w:color w:val="auto"/>
          <w:kern w:val="2"/>
          <w:sz w:val="21"/>
          <w:szCs w:val="21"/>
        </w:rPr>
        <w:t>DMR数字综合无线系统</w:t>
      </w:r>
    </w:p>
    <w:p w14:paraId="5280DD7F">
      <w:pPr>
        <w:ind w:firstLine="420" w:firstLineChars="200"/>
        <w:rPr>
          <w:color w:val="auto"/>
          <w:sz w:val="21"/>
          <w:szCs w:val="21"/>
        </w:rPr>
      </w:pPr>
      <w:bookmarkStart w:id="590" w:name="_Toc496601194"/>
      <w:bookmarkStart w:id="591" w:name="_Toc517888218"/>
      <w:bookmarkStart w:id="592" w:name="_Toc520963324"/>
      <w:bookmarkStart w:id="593" w:name="_Toc517873358"/>
      <w:bookmarkStart w:id="594" w:name="_Toc207723040"/>
      <w:bookmarkStart w:id="595" w:name="_Toc245541002"/>
      <w:r>
        <w:rPr>
          <w:rFonts w:hint="eastAsia"/>
          <w:color w:val="auto"/>
          <w:sz w:val="21"/>
          <w:szCs w:val="21"/>
        </w:rPr>
        <w:t>1.1基本要求</w:t>
      </w:r>
    </w:p>
    <w:p w14:paraId="34BE36D1">
      <w:pPr>
        <w:ind w:firstLine="420" w:firstLineChars="200"/>
        <w:rPr>
          <w:color w:val="auto"/>
          <w:sz w:val="21"/>
          <w:szCs w:val="21"/>
        </w:rPr>
      </w:pPr>
      <w:r>
        <w:rPr>
          <w:rFonts w:hint="eastAsia"/>
          <w:color w:val="auto"/>
          <w:sz w:val="21"/>
          <w:szCs w:val="21"/>
        </w:rPr>
        <w:t>根据宜昌三峡疏港铁路投资运营有限公司工作联系单《茅坪港铁路站后工程总体设计方案》（Y</w:t>
      </w:r>
      <w:r>
        <w:rPr>
          <w:color w:val="auto"/>
          <w:sz w:val="21"/>
          <w:szCs w:val="21"/>
        </w:rPr>
        <w:t>CSXTL-2022-0601</w:t>
      </w:r>
      <w:r>
        <w:rPr>
          <w:rFonts w:hint="eastAsia"/>
          <w:color w:val="auto"/>
          <w:sz w:val="21"/>
          <w:szCs w:val="21"/>
        </w:rPr>
        <w:t>）</w:t>
      </w:r>
      <w:r>
        <w:rPr>
          <w:rFonts w:hint="eastAsia" w:hAnsi="宋体"/>
          <w:color w:val="auto"/>
          <w:sz w:val="21"/>
          <w:szCs w:val="21"/>
        </w:rPr>
        <w:t>有关技术要求，</w:t>
      </w:r>
      <w:r>
        <w:rPr>
          <w:rFonts w:hint="eastAsia"/>
          <w:color w:val="auto"/>
          <w:sz w:val="21"/>
          <w:szCs w:val="21"/>
        </w:rPr>
        <w:t>本次</w:t>
      </w:r>
      <w:r>
        <w:rPr>
          <w:rFonts w:hint="eastAsia" w:hAnsi="宋体"/>
          <w:color w:val="auto"/>
          <w:sz w:val="21"/>
          <w:szCs w:val="21"/>
        </w:rPr>
        <w:t>茅坪港铁路无线通信系统改造</w:t>
      </w:r>
      <w:r>
        <w:rPr>
          <w:rFonts w:hint="eastAsia"/>
          <w:color w:val="auto"/>
          <w:sz w:val="21"/>
          <w:szCs w:val="21"/>
        </w:rPr>
        <w:t>工程采用</w:t>
      </w:r>
      <w:r>
        <w:rPr>
          <w:color w:val="auto"/>
          <w:sz w:val="21"/>
          <w:szCs w:val="21"/>
        </w:rPr>
        <w:t>DMR</w:t>
      </w:r>
      <w:r>
        <w:rPr>
          <w:rFonts w:hint="eastAsia" w:hAnsi="宋体"/>
          <w:color w:val="auto"/>
          <w:sz w:val="21"/>
          <w:szCs w:val="21"/>
        </w:rPr>
        <w:t>数字综合无线通信系统，设备技术要求可参照</w:t>
      </w:r>
      <w:r>
        <w:rPr>
          <w:rFonts w:hint="eastAsia"/>
          <w:color w:val="auto"/>
          <w:sz w:val="21"/>
          <w:szCs w:val="21"/>
        </w:rPr>
        <w:t>《铁路专用数字对讲设备暂行技术条件》（铁总运【</w:t>
      </w:r>
      <w:r>
        <w:rPr>
          <w:color w:val="auto"/>
          <w:sz w:val="21"/>
          <w:szCs w:val="21"/>
        </w:rPr>
        <w:t>2017</w:t>
      </w:r>
      <w:r>
        <w:rPr>
          <w:rFonts w:hint="eastAsia"/>
          <w:color w:val="auto"/>
          <w:sz w:val="21"/>
          <w:szCs w:val="21"/>
        </w:rPr>
        <w:t>】</w:t>
      </w:r>
      <w:r>
        <w:rPr>
          <w:color w:val="auto"/>
          <w:sz w:val="21"/>
          <w:szCs w:val="21"/>
        </w:rPr>
        <w:t>71</w:t>
      </w:r>
      <w:r>
        <w:rPr>
          <w:rFonts w:hint="eastAsia"/>
          <w:color w:val="auto"/>
          <w:sz w:val="21"/>
          <w:szCs w:val="21"/>
        </w:rPr>
        <w:t>号）中的相关要求。</w:t>
      </w:r>
    </w:p>
    <w:p w14:paraId="0049B610">
      <w:pPr>
        <w:ind w:firstLine="420" w:firstLineChars="200"/>
        <w:rPr>
          <w:color w:val="auto"/>
          <w:sz w:val="21"/>
          <w:szCs w:val="21"/>
        </w:rPr>
      </w:pPr>
      <w:r>
        <w:rPr>
          <w:rFonts w:hint="eastAsia"/>
          <w:color w:val="auto"/>
          <w:sz w:val="21"/>
          <w:szCs w:val="21"/>
        </w:rPr>
        <w:t>系统包含</w:t>
      </w:r>
      <w:r>
        <w:rPr>
          <w:color w:val="auto"/>
          <w:sz w:val="21"/>
          <w:szCs w:val="21"/>
        </w:rPr>
        <w:t>DMR</w:t>
      </w:r>
      <w:r>
        <w:rPr>
          <w:rFonts w:hint="eastAsia"/>
          <w:color w:val="auto"/>
          <w:sz w:val="21"/>
          <w:szCs w:val="21"/>
        </w:rPr>
        <w:t>无线列调对讲通信系统、</w:t>
      </w:r>
      <w:r>
        <w:rPr>
          <w:color w:val="auto"/>
          <w:sz w:val="21"/>
          <w:szCs w:val="21"/>
        </w:rPr>
        <w:t>沿线施工防护通信</w:t>
      </w:r>
      <w:r>
        <w:rPr>
          <w:rFonts w:hint="eastAsia"/>
          <w:color w:val="auto"/>
          <w:sz w:val="21"/>
          <w:szCs w:val="21"/>
        </w:rPr>
        <w:t>系统组成的数字综合无线通信系统以及无线平面调车通信系统。</w:t>
      </w:r>
    </w:p>
    <w:p w14:paraId="26DA37E4">
      <w:pPr>
        <w:ind w:firstLine="420" w:firstLineChars="200"/>
        <w:rPr>
          <w:color w:val="auto"/>
          <w:sz w:val="21"/>
          <w:szCs w:val="21"/>
        </w:rPr>
      </w:pPr>
      <w:r>
        <w:rPr>
          <w:rFonts w:hint="eastAsia"/>
          <w:color w:val="auto"/>
          <w:sz w:val="21"/>
          <w:szCs w:val="21"/>
        </w:rPr>
        <w:t>1.</w:t>
      </w:r>
      <w:r>
        <w:rPr>
          <w:color w:val="auto"/>
          <w:sz w:val="21"/>
          <w:szCs w:val="21"/>
        </w:rPr>
        <w:t>2</w:t>
      </w:r>
      <w:r>
        <w:rPr>
          <w:rFonts w:hint="eastAsia" w:hAnsi="宋体"/>
          <w:color w:val="auto"/>
          <w:sz w:val="21"/>
          <w:szCs w:val="21"/>
        </w:rPr>
        <w:t>．系统业务和功能</w:t>
      </w:r>
    </w:p>
    <w:p w14:paraId="1C9EE286">
      <w:pPr>
        <w:ind w:firstLine="420" w:firstLineChars="200"/>
        <w:rPr>
          <w:color w:val="auto"/>
          <w:sz w:val="21"/>
          <w:szCs w:val="21"/>
        </w:rPr>
      </w:pPr>
      <w:r>
        <w:rPr>
          <w:rFonts w:hint="eastAsia"/>
          <w:color w:val="auto"/>
          <w:sz w:val="21"/>
          <w:szCs w:val="21"/>
        </w:rPr>
        <w:t>（</w:t>
      </w:r>
      <w:r>
        <w:rPr>
          <w:color w:val="auto"/>
          <w:sz w:val="21"/>
          <w:szCs w:val="21"/>
        </w:rPr>
        <w:t>1</w:t>
      </w:r>
      <w:r>
        <w:rPr>
          <w:rFonts w:hint="eastAsia"/>
          <w:color w:val="auto"/>
          <w:sz w:val="21"/>
          <w:szCs w:val="21"/>
        </w:rPr>
        <w:t>）行车调度员按车次号单呼司机；</w:t>
      </w:r>
    </w:p>
    <w:p w14:paraId="1664F57D">
      <w:pPr>
        <w:ind w:firstLine="420" w:firstLineChars="200"/>
        <w:rPr>
          <w:color w:val="auto"/>
          <w:sz w:val="21"/>
          <w:szCs w:val="21"/>
        </w:rPr>
      </w:pPr>
      <w:r>
        <w:rPr>
          <w:rFonts w:hint="eastAsia"/>
          <w:color w:val="auto"/>
          <w:sz w:val="21"/>
          <w:szCs w:val="21"/>
        </w:rPr>
        <w:t>（</w:t>
      </w:r>
      <w:r>
        <w:rPr>
          <w:color w:val="auto"/>
          <w:sz w:val="21"/>
          <w:szCs w:val="21"/>
        </w:rPr>
        <w:t>2</w:t>
      </w:r>
      <w:r>
        <w:rPr>
          <w:rFonts w:hint="eastAsia"/>
          <w:color w:val="auto"/>
          <w:sz w:val="21"/>
          <w:szCs w:val="21"/>
        </w:rPr>
        <w:t>）行车调度员能够按车站呼叫的所有该车站范围内的机车司机；</w:t>
      </w:r>
    </w:p>
    <w:p w14:paraId="3A2A88D6">
      <w:pPr>
        <w:ind w:firstLine="420" w:firstLineChars="200"/>
        <w:rPr>
          <w:color w:val="auto"/>
          <w:sz w:val="21"/>
          <w:szCs w:val="21"/>
        </w:rPr>
      </w:pPr>
      <w:r>
        <w:rPr>
          <w:rFonts w:hint="eastAsia"/>
          <w:color w:val="auto"/>
          <w:sz w:val="21"/>
          <w:szCs w:val="21"/>
        </w:rPr>
        <w:t>（</w:t>
      </w:r>
      <w:r>
        <w:rPr>
          <w:color w:val="auto"/>
          <w:sz w:val="21"/>
          <w:szCs w:val="21"/>
        </w:rPr>
        <w:t>3</w:t>
      </w:r>
      <w:r>
        <w:rPr>
          <w:rFonts w:hint="eastAsia"/>
          <w:color w:val="auto"/>
          <w:sz w:val="21"/>
          <w:szCs w:val="21"/>
        </w:rPr>
        <w:t>）行车调度员可单呼管辖内所有车站的车站值班员</w:t>
      </w:r>
      <w:r>
        <w:rPr>
          <w:color w:val="auto"/>
          <w:sz w:val="21"/>
          <w:szCs w:val="21"/>
        </w:rPr>
        <w:t>；</w:t>
      </w:r>
    </w:p>
    <w:p w14:paraId="0CD05E13">
      <w:pPr>
        <w:ind w:firstLine="420" w:firstLineChars="200"/>
        <w:rPr>
          <w:color w:val="auto"/>
          <w:sz w:val="21"/>
          <w:szCs w:val="21"/>
        </w:rPr>
      </w:pPr>
      <w:r>
        <w:rPr>
          <w:rFonts w:hint="eastAsia"/>
          <w:color w:val="auto"/>
          <w:sz w:val="21"/>
          <w:szCs w:val="21"/>
        </w:rPr>
        <w:t>（</w:t>
      </w:r>
      <w:r>
        <w:rPr>
          <w:color w:val="auto"/>
          <w:sz w:val="21"/>
          <w:szCs w:val="21"/>
        </w:rPr>
        <w:t>4</w:t>
      </w:r>
      <w:r>
        <w:rPr>
          <w:rFonts w:hint="eastAsia"/>
          <w:color w:val="auto"/>
          <w:sz w:val="21"/>
          <w:szCs w:val="21"/>
        </w:rPr>
        <w:t>）司机可单呼行车调度员；</w:t>
      </w:r>
    </w:p>
    <w:p w14:paraId="30B5BAB2">
      <w:pPr>
        <w:ind w:firstLine="420" w:firstLineChars="200"/>
        <w:rPr>
          <w:color w:val="auto"/>
          <w:sz w:val="21"/>
          <w:szCs w:val="21"/>
        </w:rPr>
      </w:pPr>
      <w:r>
        <w:rPr>
          <w:rFonts w:hint="eastAsia"/>
          <w:color w:val="auto"/>
          <w:sz w:val="21"/>
          <w:szCs w:val="21"/>
        </w:rPr>
        <w:t>（</w:t>
      </w:r>
      <w:r>
        <w:rPr>
          <w:color w:val="auto"/>
          <w:sz w:val="21"/>
          <w:szCs w:val="21"/>
        </w:rPr>
        <w:t>5</w:t>
      </w:r>
      <w:r>
        <w:rPr>
          <w:rFonts w:hint="eastAsia"/>
          <w:color w:val="auto"/>
          <w:sz w:val="21"/>
          <w:szCs w:val="21"/>
        </w:rPr>
        <w:t>）司机可组呼当前车站范围内所有机车司机；</w:t>
      </w:r>
    </w:p>
    <w:p w14:paraId="46C8168E">
      <w:pPr>
        <w:ind w:firstLine="420" w:firstLineChars="200"/>
        <w:rPr>
          <w:color w:val="auto"/>
          <w:sz w:val="21"/>
          <w:szCs w:val="21"/>
        </w:rPr>
      </w:pPr>
      <w:r>
        <w:rPr>
          <w:rFonts w:hint="eastAsia"/>
          <w:color w:val="auto"/>
          <w:sz w:val="21"/>
          <w:szCs w:val="21"/>
        </w:rPr>
        <w:t>（</w:t>
      </w:r>
      <w:r>
        <w:rPr>
          <w:color w:val="auto"/>
          <w:sz w:val="21"/>
          <w:szCs w:val="21"/>
        </w:rPr>
        <w:t>6</w:t>
      </w:r>
      <w:r>
        <w:rPr>
          <w:rFonts w:hint="eastAsia"/>
          <w:color w:val="auto"/>
          <w:sz w:val="21"/>
          <w:szCs w:val="21"/>
        </w:rPr>
        <w:t>）司机可单呼车站值班员。</w:t>
      </w:r>
    </w:p>
    <w:p w14:paraId="051621E7">
      <w:pPr>
        <w:ind w:firstLine="420" w:firstLineChars="200"/>
        <w:rPr>
          <w:color w:val="auto"/>
          <w:sz w:val="21"/>
          <w:szCs w:val="21"/>
        </w:rPr>
      </w:pPr>
      <w:r>
        <w:rPr>
          <w:rFonts w:hint="eastAsia"/>
          <w:color w:val="auto"/>
          <w:sz w:val="21"/>
          <w:szCs w:val="21"/>
        </w:rPr>
        <w:t>（</w:t>
      </w:r>
      <w:r>
        <w:rPr>
          <w:color w:val="auto"/>
          <w:sz w:val="21"/>
          <w:szCs w:val="21"/>
        </w:rPr>
        <w:t>7</w:t>
      </w:r>
      <w:r>
        <w:rPr>
          <w:rFonts w:hint="eastAsia"/>
          <w:color w:val="auto"/>
          <w:sz w:val="21"/>
          <w:szCs w:val="21"/>
        </w:rPr>
        <w:t>）车站值班员可单呼相邻车站值班员；</w:t>
      </w:r>
    </w:p>
    <w:p w14:paraId="3D1F4601">
      <w:pPr>
        <w:ind w:firstLine="420" w:firstLineChars="200"/>
        <w:rPr>
          <w:color w:val="auto"/>
          <w:sz w:val="21"/>
          <w:szCs w:val="21"/>
        </w:rPr>
      </w:pPr>
      <w:r>
        <w:rPr>
          <w:rFonts w:hint="eastAsia"/>
          <w:color w:val="auto"/>
          <w:sz w:val="21"/>
          <w:szCs w:val="21"/>
        </w:rPr>
        <w:t>（</w:t>
      </w:r>
      <w:r>
        <w:rPr>
          <w:color w:val="auto"/>
          <w:sz w:val="21"/>
          <w:szCs w:val="21"/>
        </w:rPr>
        <w:t>8</w:t>
      </w:r>
      <w:r>
        <w:rPr>
          <w:rFonts w:hint="eastAsia"/>
          <w:color w:val="auto"/>
          <w:sz w:val="21"/>
          <w:szCs w:val="21"/>
        </w:rPr>
        <w:t>）车站值班员可单呼行车调度员；</w:t>
      </w:r>
    </w:p>
    <w:p w14:paraId="73CD58D8">
      <w:pPr>
        <w:ind w:firstLine="420" w:firstLineChars="200"/>
        <w:rPr>
          <w:color w:val="auto"/>
          <w:sz w:val="21"/>
          <w:szCs w:val="21"/>
        </w:rPr>
      </w:pPr>
      <w:r>
        <w:rPr>
          <w:rFonts w:hint="eastAsia"/>
          <w:color w:val="auto"/>
          <w:sz w:val="21"/>
          <w:szCs w:val="21"/>
        </w:rPr>
        <w:t>（</w:t>
      </w:r>
      <w:r>
        <w:rPr>
          <w:color w:val="auto"/>
          <w:sz w:val="21"/>
          <w:szCs w:val="21"/>
        </w:rPr>
        <w:t>9</w:t>
      </w:r>
      <w:r>
        <w:rPr>
          <w:rFonts w:hint="eastAsia"/>
          <w:color w:val="auto"/>
          <w:sz w:val="21"/>
          <w:szCs w:val="21"/>
        </w:rPr>
        <w:t>）车站值班员可按车次号单呼司机。</w:t>
      </w:r>
    </w:p>
    <w:p w14:paraId="27D6576C">
      <w:pPr>
        <w:ind w:firstLine="420" w:firstLineChars="200"/>
        <w:rPr>
          <w:color w:val="auto"/>
          <w:sz w:val="21"/>
          <w:szCs w:val="21"/>
        </w:rPr>
      </w:pPr>
      <w:r>
        <w:rPr>
          <w:rFonts w:hint="eastAsia"/>
          <w:color w:val="auto"/>
          <w:sz w:val="21"/>
          <w:szCs w:val="21"/>
        </w:rPr>
        <w:t>（</w:t>
      </w:r>
      <w:r>
        <w:rPr>
          <w:color w:val="auto"/>
          <w:sz w:val="21"/>
          <w:szCs w:val="21"/>
        </w:rPr>
        <w:t>10</w:t>
      </w:r>
      <w:r>
        <w:rPr>
          <w:rFonts w:hint="eastAsia"/>
          <w:color w:val="auto"/>
          <w:sz w:val="21"/>
          <w:szCs w:val="21"/>
        </w:rPr>
        <w:t>）车站值班员可组呼本站范围内的所有机车司机；</w:t>
      </w:r>
    </w:p>
    <w:p w14:paraId="64E494F0">
      <w:pPr>
        <w:ind w:firstLine="420" w:firstLineChars="200"/>
        <w:rPr>
          <w:color w:val="auto"/>
          <w:sz w:val="21"/>
          <w:szCs w:val="21"/>
        </w:rPr>
      </w:pPr>
      <w:r>
        <w:rPr>
          <w:rFonts w:hint="eastAsia"/>
          <w:color w:val="auto"/>
          <w:sz w:val="21"/>
          <w:szCs w:val="21"/>
        </w:rPr>
        <w:t>（</w:t>
      </w:r>
      <w:r>
        <w:rPr>
          <w:color w:val="auto"/>
          <w:sz w:val="21"/>
          <w:szCs w:val="21"/>
        </w:rPr>
        <w:t>11</w:t>
      </w:r>
      <w:r>
        <w:rPr>
          <w:rFonts w:hint="eastAsia"/>
          <w:color w:val="auto"/>
          <w:sz w:val="21"/>
          <w:szCs w:val="21"/>
        </w:rPr>
        <w:t>）助理值班员需能一键呼叫本车站值班员、本车站范围的机车司机；</w:t>
      </w:r>
    </w:p>
    <w:p w14:paraId="303298B3">
      <w:pPr>
        <w:ind w:firstLine="420" w:firstLineChars="200"/>
        <w:rPr>
          <w:color w:val="auto"/>
          <w:sz w:val="21"/>
          <w:szCs w:val="21"/>
        </w:rPr>
      </w:pPr>
      <w:r>
        <w:rPr>
          <w:rFonts w:hint="eastAsia"/>
          <w:color w:val="auto"/>
          <w:sz w:val="21"/>
          <w:szCs w:val="21"/>
        </w:rPr>
        <w:t>（</w:t>
      </w:r>
      <w:r>
        <w:rPr>
          <w:color w:val="auto"/>
          <w:sz w:val="21"/>
          <w:szCs w:val="21"/>
        </w:rPr>
        <w:t>12</w:t>
      </w:r>
      <w:r>
        <w:rPr>
          <w:rFonts w:hint="eastAsia"/>
          <w:color w:val="auto"/>
          <w:sz w:val="21"/>
          <w:szCs w:val="21"/>
        </w:rPr>
        <w:t>）随车的车长或车辆检测员需能一键呼叫本车司机、所在车站的车站值班员；</w:t>
      </w:r>
    </w:p>
    <w:p w14:paraId="2018D8E1">
      <w:pPr>
        <w:ind w:firstLine="420" w:firstLineChars="200"/>
        <w:rPr>
          <w:color w:val="auto"/>
          <w:sz w:val="21"/>
          <w:szCs w:val="21"/>
        </w:rPr>
      </w:pPr>
      <w:r>
        <w:rPr>
          <w:rFonts w:hint="eastAsia"/>
          <w:color w:val="auto"/>
          <w:sz w:val="21"/>
          <w:szCs w:val="21"/>
        </w:rPr>
        <w:t>（</w:t>
      </w:r>
      <w:r>
        <w:rPr>
          <w:color w:val="auto"/>
          <w:sz w:val="21"/>
          <w:szCs w:val="21"/>
        </w:rPr>
        <w:t>13</w:t>
      </w:r>
      <w:r>
        <w:rPr>
          <w:rFonts w:hint="eastAsia"/>
          <w:color w:val="auto"/>
          <w:sz w:val="21"/>
          <w:szCs w:val="21"/>
        </w:rPr>
        <w:t>）机车台、车站台、调度所设备之间应具有双向数据传输功能，具有实时数据、短数据和报文分包传送的功能；</w:t>
      </w:r>
    </w:p>
    <w:p w14:paraId="7444FF02">
      <w:pPr>
        <w:ind w:firstLine="420" w:firstLineChars="200"/>
        <w:rPr>
          <w:color w:val="auto"/>
          <w:sz w:val="21"/>
          <w:szCs w:val="21"/>
        </w:rPr>
      </w:pPr>
      <w:r>
        <w:rPr>
          <w:rFonts w:hint="eastAsia"/>
          <w:color w:val="auto"/>
          <w:sz w:val="21"/>
          <w:szCs w:val="21"/>
        </w:rPr>
        <w:t>（</w:t>
      </w:r>
      <w:r>
        <w:rPr>
          <w:color w:val="auto"/>
          <w:sz w:val="21"/>
          <w:szCs w:val="21"/>
        </w:rPr>
        <w:t>14</w:t>
      </w:r>
      <w:r>
        <w:rPr>
          <w:rFonts w:hint="eastAsia"/>
          <w:color w:val="auto"/>
          <w:sz w:val="21"/>
          <w:szCs w:val="21"/>
        </w:rPr>
        <w:t>）行车调度员可在行车调度台上编写调度指令，并可通过调度台将调度指令传给指定机车台上显示；</w:t>
      </w:r>
    </w:p>
    <w:p w14:paraId="15F7F6AD">
      <w:pPr>
        <w:ind w:firstLine="420" w:firstLineChars="200"/>
        <w:rPr>
          <w:color w:val="auto"/>
          <w:sz w:val="21"/>
          <w:szCs w:val="21"/>
        </w:rPr>
      </w:pPr>
      <w:r>
        <w:rPr>
          <w:rFonts w:hint="eastAsia"/>
          <w:color w:val="auto"/>
          <w:sz w:val="21"/>
          <w:szCs w:val="21"/>
        </w:rPr>
        <w:t>（</w:t>
      </w:r>
      <w:r>
        <w:rPr>
          <w:color w:val="auto"/>
          <w:sz w:val="21"/>
          <w:szCs w:val="21"/>
        </w:rPr>
        <w:t>15</w:t>
      </w:r>
      <w:r>
        <w:rPr>
          <w:rFonts w:hint="eastAsia"/>
          <w:color w:val="auto"/>
          <w:sz w:val="21"/>
          <w:szCs w:val="21"/>
        </w:rPr>
        <w:t>）调度员、车站值班员、与机车司机间及与便携台的通话分别由调度所、车站机车上及便携台的录音设备自动录音；</w:t>
      </w:r>
    </w:p>
    <w:p w14:paraId="64BF0391">
      <w:pPr>
        <w:ind w:firstLine="420" w:firstLineChars="200"/>
        <w:rPr>
          <w:color w:val="auto"/>
          <w:sz w:val="21"/>
          <w:szCs w:val="21"/>
        </w:rPr>
      </w:pPr>
      <w:r>
        <w:rPr>
          <w:rFonts w:hint="eastAsia"/>
          <w:color w:val="auto"/>
          <w:sz w:val="21"/>
          <w:szCs w:val="21"/>
        </w:rPr>
        <w:t>（</w:t>
      </w:r>
      <w:r>
        <w:rPr>
          <w:color w:val="auto"/>
          <w:sz w:val="21"/>
          <w:szCs w:val="21"/>
        </w:rPr>
        <w:t>16</w:t>
      </w:r>
      <w:r>
        <w:rPr>
          <w:rFonts w:hint="eastAsia"/>
          <w:color w:val="auto"/>
          <w:sz w:val="21"/>
          <w:szCs w:val="21"/>
        </w:rPr>
        <w:t>）系统具有远程集中监测车站台、调度所设备及区间盲区覆盖中继设备的工作状态和参数设置功能；</w:t>
      </w:r>
    </w:p>
    <w:p w14:paraId="0EF8BEC6">
      <w:pPr>
        <w:ind w:firstLine="420" w:firstLineChars="200"/>
        <w:rPr>
          <w:color w:val="auto"/>
          <w:sz w:val="21"/>
          <w:szCs w:val="21"/>
        </w:rPr>
      </w:pPr>
      <w:r>
        <w:rPr>
          <w:rFonts w:hint="eastAsia"/>
          <w:color w:val="auto"/>
          <w:sz w:val="21"/>
          <w:szCs w:val="21"/>
        </w:rPr>
        <w:t>（</w:t>
      </w:r>
      <w:r>
        <w:rPr>
          <w:color w:val="auto"/>
          <w:sz w:val="21"/>
          <w:szCs w:val="21"/>
        </w:rPr>
        <w:t>17</w:t>
      </w:r>
      <w:r>
        <w:rPr>
          <w:rFonts w:hint="eastAsia"/>
          <w:color w:val="auto"/>
          <w:sz w:val="21"/>
          <w:szCs w:val="21"/>
        </w:rPr>
        <w:t>）越区切换上行通信不中断。</w:t>
      </w:r>
    </w:p>
    <w:p w14:paraId="77BB7763">
      <w:pPr>
        <w:ind w:firstLine="420" w:firstLineChars="200"/>
        <w:rPr>
          <w:color w:val="auto"/>
          <w:sz w:val="21"/>
          <w:szCs w:val="21"/>
        </w:rPr>
      </w:pPr>
      <w:r>
        <w:rPr>
          <w:rFonts w:hint="eastAsia"/>
          <w:color w:val="auto"/>
          <w:sz w:val="21"/>
          <w:szCs w:val="21"/>
        </w:rPr>
        <w:t xml:space="preserve">1.3 </w:t>
      </w:r>
      <w:r>
        <w:rPr>
          <w:color w:val="auto"/>
          <w:sz w:val="21"/>
          <w:szCs w:val="21"/>
        </w:rPr>
        <w:t xml:space="preserve"> </w:t>
      </w:r>
      <w:r>
        <w:rPr>
          <w:rFonts w:hint="eastAsia" w:hAnsi="宋体"/>
          <w:color w:val="auto"/>
          <w:sz w:val="21"/>
          <w:szCs w:val="21"/>
        </w:rPr>
        <w:t>区间防护作业</w:t>
      </w:r>
      <w:r>
        <w:rPr>
          <w:rFonts w:hint="eastAsia"/>
          <w:color w:val="auto"/>
          <w:sz w:val="21"/>
          <w:szCs w:val="21"/>
        </w:rPr>
        <w:t>通信</w:t>
      </w:r>
    </w:p>
    <w:p w14:paraId="6DDFF96A">
      <w:pPr>
        <w:ind w:firstLine="420" w:firstLineChars="200"/>
        <w:rPr>
          <w:color w:val="auto"/>
          <w:sz w:val="21"/>
          <w:szCs w:val="21"/>
        </w:rPr>
      </w:pPr>
      <w:r>
        <w:rPr>
          <w:rFonts w:hint="eastAsia"/>
          <w:color w:val="auto"/>
          <w:sz w:val="21"/>
          <w:szCs w:val="21"/>
        </w:rPr>
        <w:t>（1）沿线防护作业通信</w:t>
      </w:r>
      <w:r>
        <w:rPr>
          <w:color w:val="auto"/>
          <w:sz w:val="21"/>
          <w:szCs w:val="21"/>
        </w:rPr>
        <w:t>各工种可专</w:t>
      </w:r>
      <w:r>
        <w:rPr>
          <w:rFonts w:hint="eastAsia"/>
          <w:color w:val="auto"/>
          <w:sz w:val="21"/>
          <w:szCs w:val="21"/>
        </w:rPr>
        <w:t>享</w:t>
      </w:r>
      <w:r>
        <w:rPr>
          <w:color w:val="auto"/>
          <w:sz w:val="21"/>
          <w:szCs w:val="21"/>
        </w:rPr>
        <w:t>也可多工种分享通信信道，</w:t>
      </w:r>
      <w:r>
        <w:rPr>
          <w:rFonts w:hint="eastAsia"/>
          <w:color w:val="auto"/>
          <w:sz w:val="21"/>
          <w:szCs w:val="21"/>
        </w:rPr>
        <w:t>根据需要能跨站漫游；</w:t>
      </w:r>
    </w:p>
    <w:p w14:paraId="44703970">
      <w:pPr>
        <w:ind w:firstLine="420" w:firstLineChars="200"/>
        <w:rPr>
          <w:color w:val="auto"/>
          <w:sz w:val="21"/>
          <w:szCs w:val="21"/>
        </w:rPr>
      </w:pPr>
      <w:r>
        <w:rPr>
          <w:rFonts w:hint="eastAsia"/>
          <w:color w:val="auto"/>
          <w:sz w:val="21"/>
          <w:szCs w:val="21"/>
        </w:rPr>
        <w:t>（2）通话能在系统端录音、查询记录和回放录音；</w:t>
      </w:r>
    </w:p>
    <w:p w14:paraId="2058671D">
      <w:pPr>
        <w:ind w:firstLine="420" w:firstLineChars="200"/>
        <w:rPr>
          <w:color w:val="auto"/>
          <w:sz w:val="21"/>
          <w:szCs w:val="21"/>
        </w:rPr>
      </w:pPr>
      <w:r>
        <w:rPr>
          <w:rFonts w:hint="eastAsia"/>
          <w:color w:val="auto"/>
          <w:sz w:val="21"/>
          <w:szCs w:val="21"/>
        </w:rPr>
        <w:t>（3）巡道员、防护员能监听到附近的行车调度信息，并能在紧急情况下呼叫到附近司机；</w:t>
      </w:r>
    </w:p>
    <w:p w14:paraId="7A788CD0">
      <w:pPr>
        <w:ind w:firstLine="420" w:firstLineChars="200"/>
        <w:rPr>
          <w:color w:val="auto"/>
          <w:sz w:val="21"/>
          <w:szCs w:val="21"/>
        </w:rPr>
      </w:pPr>
      <w:r>
        <w:rPr>
          <w:rFonts w:hint="eastAsia"/>
          <w:color w:val="auto"/>
          <w:sz w:val="21"/>
          <w:szCs w:val="21"/>
        </w:rPr>
        <w:t>（4）防护员切换功能</w:t>
      </w:r>
      <w:r>
        <w:rPr>
          <w:color w:val="auto"/>
          <w:sz w:val="21"/>
          <w:szCs w:val="21"/>
        </w:rPr>
        <w:t>：</w:t>
      </w:r>
      <w:r>
        <w:rPr>
          <w:rFonts w:hint="eastAsia"/>
          <w:color w:val="auto"/>
          <w:sz w:val="21"/>
          <w:szCs w:val="21"/>
        </w:rPr>
        <w:t>各</w:t>
      </w:r>
      <w:r>
        <w:rPr>
          <w:color w:val="auto"/>
          <w:sz w:val="21"/>
          <w:szCs w:val="21"/>
        </w:rPr>
        <w:t>防护</w:t>
      </w:r>
      <w:r>
        <w:rPr>
          <w:rFonts w:hint="eastAsia"/>
          <w:color w:val="auto"/>
          <w:sz w:val="21"/>
          <w:szCs w:val="21"/>
        </w:rPr>
        <w:t>组可使用一个专用信道进行组内通讯，与行车调度通话组互不干扰；防护员通过扭转手持台上的旋钮将手持台接入行车调度系统中完成</w:t>
      </w:r>
      <w:r>
        <w:rPr>
          <w:color w:val="auto"/>
          <w:sz w:val="21"/>
          <w:szCs w:val="21"/>
        </w:rPr>
        <w:t>切换。</w:t>
      </w:r>
    </w:p>
    <w:p w14:paraId="7DBEFA20">
      <w:pPr>
        <w:ind w:firstLine="420" w:firstLineChars="200"/>
        <w:rPr>
          <w:color w:val="auto"/>
          <w:sz w:val="21"/>
          <w:szCs w:val="21"/>
        </w:rPr>
      </w:pPr>
      <w:r>
        <w:rPr>
          <w:rFonts w:hint="eastAsia"/>
          <w:color w:val="auto"/>
          <w:sz w:val="21"/>
          <w:szCs w:val="21"/>
        </w:rPr>
        <w:t>1.4 数模兼容</w:t>
      </w:r>
    </w:p>
    <w:p w14:paraId="228E937D">
      <w:pPr>
        <w:ind w:firstLine="420" w:firstLineChars="200"/>
        <w:rPr>
          <w:color w:val="auto"/>
          <w:sz w:val="21"/>
          <w:szCs w:val="21"/>
        </w:rPr>
      </w:pPr>
      <w:r>
        <w:rPr>
          <w:rFonts w:hint="eastAsia"/>
          <w:color w:val="auto"/>
          <w:sz w:val="21"/>
          <w:szCs w:val="21"/>
        </w:rPr>
        <w:t>（</w:t>
      </w:r>
      <w:r>
        <w:rPr>
          <w:color w:val="auto"/>
          <w:sz w:val="21"/>
          <w:szCs w:val="21"/>
        </w:rPr>
        <w:t>1</w:t>
      </w:r>
      <w:r>
        <w:rPr>
          <w:rFonts w:hint="eastAsia"/>
          <w:color w:val="auto"/>
          <w:sz w:val="21"/>
          <w:szCs w:val="21"/>
        </w:rPr>
        <w:t>）机车台数模兼容，本系统配置的机车台可以和其他线路的模拟车站设备进行双向呼叫，满足行车调度需求；</w:t>
      </w:r>
    </w:p>
    <w:p w14:paraId="52BCF19C">
      <w:pPr>
        <w:ind w:firstLine="420" w:firstLineChars="200"/>
        <w:rPr>
          <w:color w:val="auto"/>
          <w:sz w:val="21"/>
          <w:szCs w:val="21"/>
        </w:rPr>
      </w:pPr>
      <w:r>
        <w:rPr>
          <w:rFonts w:hint="eastAsia"/>
          <w:color w:val="auto"/>
          <w:sz w:val="21"/>
          <w:szCs w:val="21"/>
        </w:rPr>
        <w:t>（</w:t>
      </w:r>
      <w:r>
        <w:rPr>
          <w:color w:val="auto"/>
          <w:sz w:val="21"/>
          <w:szCs w:val="21"/>
        </w:rPr>
        <w:t>2</w:t>
      </w:r>
      <w:r>
        <w:rPr>
          <w:rFonts w:hint="eastAsia"/>
          <w:color w:val="auto"/>
          <w:sz w:val="21"/>
          <w:szCs w:val="21"/>
        </w:rPr>
        <w:t>）车站值班员台可根据设备配置实现数模兼容，可与茅坪港线上的模拟机车台实现双向呼叫，满足行车调度需求。</w:t>
      </w:r>
    </w:p>
    <w:p w14:paraId="358DC749">
      <w:pPr>
        <w:pStyle w:val="8"/>
        <w:rPr>
          <w:rFonts w:hint="eastAsia"/>
          <w:color w:val="auto"/>
          <w:kern w:val="2"/>
          <w:sz w:val="21"/>
          <w:szCs w:val="21"/>
        </w:rPr>
      </w:pPr>
      <w:bookmarkStart w:id="596" w:name="_Toc29622"/>
      <w:r>
        <w:rPr>
          <w:rFonts w:hint="eastAsia"/>
          <w:color w:val="auto"/>
          <w:kern w:val="2"/>
          <w:sz w:val="21"/>
          <w:szCs w:val="21"/>
        </w:rPr>
        <w:t>2. DMR数字综合无线通信系统其它功能</w:t>
      </w:r>
      <w:bookmarkEnd w:id="596"/>
    </w:p>
    <w:p w14:paraId="1B231EA7">
      <w:pPr>
        <w:ind w:firstLine="420" w:firstLineChars="200"/>
        <w:rPr>
          <w:color w:val="auto"/>
          <w:sz w:val="21"/>
          <w:szCs w:val="21"/>
        </w:rPr>
      </w:pPr>
      <w:r>
        <w:rPr>
          <w:rFonts w:hint="eastAsia"/>
          <w:color w:val="auto"/>
          <w:sz w:val="21"/>
          <w:szCs w:val="21"/>
        </w:rPr>
        <w:t>（</w:t>
      </w:r>
      <w:r>
        <w:rPr>
          <w:color w:val="auto"/>
          <w:sz w:val="21"/>
          <w:szCs w:val="21"/>
        </w:rPr>
        <w:t>1</w:t>
      </w:r>
      <w:r>
        <w:rPr>
          <w:rFonts w:hint="eastAsia"/>
          <w:color w:val="auto"/>
          <w:sz w:val="21"/>
          <w:szCs w:val="21"/>
        </w:rPr>
        <w:t>）注册管理：行车调度台、车站值班员台、录音服务器、基站中继台以及移动终端开机运行后向中心服务器定时发送注册请求，直到接收到中心的注册成功的回复；注册成功接入系统后，还必须要维持与系统的链接状态；</w:t>
      </w:r>
    </w:p>
    <w:p w14:paraId="2D5BAC0F">
      <w:pPr>
        <w:ind w:firstLine="420" w:firstLineChars="200"/>
        <w:rPr>
          <w:color w:val="auto"/>
          <w:sz w:val="21"/>
          <w:szCs w:val="21"/>
        </w:rPr>
      </w:pPr>
      <w:r>
        <w:rPr>
          <w:rFonts w:hint="eastAsia"/>
          <w:color w:val="auto"/>
          <w:sz w:val="21"/>
          <w:szCs w:val="21"/>
        </w:rPr>
        <w:t>（</w:t>
      </w:r>
      <w:r>
        <w:rPr>
          <w:color w:val="auto"/>
          <w:sz w:val="21"/>
          <w:szCs w:val="21"/>
        </w:rPr>
        <w:t>2</w:t>
      </w:r>
      <w:r>
        <w:rPr>
          <w:rFonts w:hint="eastAsia"/>
          <w:color w:val="auto"/>
          <w:sz w:val="21"/>
          <w:szCs w:val="21"/>
        </w:rPr>
        <w:t>）设备监控：系统网管实时监测系统中的各类服务器、车站值班员台以及基站中继台的链接状态和运行状态；以及系统中移动终端的状态。并在网管终端操作界面实时显示；</w:t>
      </w:r>
    </w:p>
    <w:p w14:paraId="30E4888D">
      <w:pPr>
        <w:ind w:firstLine="420" w:firstLineChars="200"/>
        <w:rPr>
          <w:color w:val="auto"/>
          <w:sz w:val="21"/>
          <w:szCs w:val="21"/>
        </w:rPr>
      </w:pPr>
      <w:r>
        <w:rPr>
          <w:rFonts w:hint="eastAsia"/>
          <w:color w:val="auto"/>
          <w:sz w:val="21"/>
          <w:szCs w:val="21"/>
        </w:rPr>
        <w:t>（</w:t>
      </w:r>
      <w:r>
        <w:rPr>
          <w:color w:val="auto"/>
          <w:sz w:val="21"/>
          <w:szCs w:val="21"/>
        </w:rPr>
        <w:t>3</w:t>
      </w:r>
      <w:r>
        <w:rPr>
          <w:rFonts w:hint="eastAsia"/>
          <w:color w:val="auto"/>
          <w:sz w:val="21"/>
          <w:szCs w:val="21"/>
        </w:rPr>
        <w:t>）数据传输与存储、查询：实现数据传输功能，以实现调度指令、</w:t>
      </w:r>
      <w:r>
        <w:rPr>
          <w:color w:val="auto"/>
          <w:sz w:val="21"/>
          <w:szCs w:val="21"/>
        </w:rPr>
        <w:t>GPS/</w:t>
      </w:r>
      <w:r>
        <w:rPr>
          <w:rFonts w:hint="eastAsia"/>
          <w:color w:val="auto"/>
          <w:sz w:val="21"/>
          <w:szCs w:val="21"/>
        </w:rPr>
        <w:t>北斗位置信息、短数据或报文数据的发送和接收；实现对用户接收的数据进行存储，以便事后回溯和查询。实现对数据信息的查询和读取功能，如调度指令、</w:t>
      </w:r>
      <w:r>
        <w:rPr>
          <w:color w:val="auto"/>
          <w:sz w:val="21"/>
          <w:szCs w:val="21"/>
        </w:rPr>
        <w:t>GPS/</w:t>
      </w:r>
      <w:r>
        <w:rPr>
          <w:rFonts w:hint="eastAsia"/>
          <w:color w:val="auto"/>
          <w:sz w:val="21"/>
          <w:szCs w:val="21"/>
        </w:rPr>
        <w:t>北斗位置信息、短数据或报文数据查询；</w:t>
      </w:r>
    </w:p>
    <w:p w14:paraId="4A575F8A">
      <w:pPr>
        <w:ind w:firstLine="420" w:firstLineChars="200"/>
        <w:rPr>
          <w:color w:val="auto"/>
          <w:sz w:val="21"/>
          <w:szCs w:val="21"/>
        </w:rPr>
      </w:pPr>
      <w:r>
        <w:rPr>
          <w:rFonts w:hint="eastAsia"/>
          <w:color w:val="auto"/>
          <w:sz w:val="21"/>
          <w:szCs w:val="21"/>
        </w:rPr>
        <w:t>（</w:t>
      </w:r>
      <w:r>
        <w:rPr>
          <w:color w:val="auto"/>
          <w:sz w:val="21"/>
          <w:szCs w:val="21"/>
        </w:rPr>
        <w:t>4</w:t>
      </w:r>
      <w:r>
        <w:rPr>
          <w:rFonts w:hint="eastAsia"/>
          <w:color w:val="auto"/>
          <w:sz w:val="21"/>
          <w:szCs w:val="21"/>
        </w:rPr>
        <w:t>）语音录音、录音查询和回放：实现系统内的语音通话录音；实现对系统录音文件的查询和回放功能，且查询条件支持按时间段查询、按呼叫方查询以及按被呼叫后查询。调度员选中录音文件即可进行回放；</w:t>
      </w:r>
    </w:p>
    <w:p w14:paraId="14F91491">
      <w:pPr>
        <w:ind w:firstLine="420" w:firstLineChars="200"/>
        <w:rPr>
          <w:color w:val="auto"/>
          <w:sz w:val="21"/>
          <w:szCs w:val="21"/>
        </w:rPr>
      </w:pPr>
      <w:r>
        <w:rPr>
          <w:rFonts w:hint="eastAsia"/>
          <w:color w:val="auto"/>
          <w:sz w:val="21"/>
          <w:szCs w:val="21"/>
        </w:rPr>
        <w:t>（</w:t>
      </w:r>
      <w:r>
        <w:rPr>
          <w:color w:val="auto"/>
          <w:sz w:val="21"/>
          <w:szCs w:val="21"/>
        </w:rPr>
        <w:t>5</w:t>
      </w:r>
      <w:r>
        <w:rPr>
          <w:rFonts w:hint="eastAsia"/>
          <w:color w:val="auto"/>
          <w:sz w:val="21"/>
          <w:szCs w:val="21"/>
        </w:rPr>
        <w:t>）行车调度台和车站值班台图形化显示功能：行调室、车站行车室可以图形化显示所管理区段的设备在线运行信息及关键设备运行状态等。</w:t>
      </w:r>
    </w:p>
    <w:p w14:paraId="3296B394">
      <w:pPr>
        <w:pStyle w:val="8"/>
        <w:rPr>
          <w:rFonts w:hint="eastAsia"/>
          <w:color w:val="auto"/>
          <w:kern w:val="2"/>
          <w:sz w:val="21"/>
          <w:szCs w:val="21"/>
        </w:rPr>
      </w:pPr>
      <w:bookmarkStart w:id="597" w:name="_Toc31213"/>
      <w:r>
        <w:rPr>
          <w:rFonts w:hint="eastAsia"/>
          <w:color w:val="auto"/>
          <w:kern w:val="2"/>
          <w:sz w:val="21"/>
          <w:szCs w:val="21"/>
        </w:rPr>
        <w:t>3．系统主要构成</w:t>
      </w:r>
      <w:bookmarkEnd w:id="597"/>
    </w:p>
    <w:p w14:paraId="5A73F162">
      <w:pPr>
        <w:ind w:firstLine="420" w:firstLineChars="200"/>
        <w:rPr>
          <w:color w:val="auto"/>
          <w:sz w:val="21"/>
          <w:szCs w:val="21"/>
        </w:rPr>
      </w:pPr>
      <w:r>
        <w:rPr>
          <w:rFonts w:hint="eastAsia"/>
          <w:color w:val="auto"/>
          <w:sz w:val="21"/>
          <w:szCs w:val="21"/>
        </w:rPr>
        <w:t>本工程新建</w:t>
      </w:r>
      <w:r>
        <w:rPr>
          <w:color w:val="auto"/>
          <w:sz w:val="21"/>
          <w:szCs w:val="21"/>
        </w:rPr>
        <w:t>DMR</w:t>
      </w:r>
      <w:r>
        <w:rPr>
          <w:rFonts w:hint="eastAsia"/>
          <w:color w:val="auto"/>
          <w:sz w:val="21"/>
          <w:szCs w:val="21"/>
        </w:rPr>
        <w:t>数字综合无线通信系统实现本线无线列调对讲调度通信及</w:t>
      </w:r>
      <w:r>
        <w:rPr>
          <w:color w:val="auto"/>
          <w:sz w:val="21"/>
          <w:szCs w:val="21"/>
        </w:rPr>
        <w:t>沿线施工防护通信</w:t>
      </w:r>
      <w:r>
        <w:rPr>
          <w:rFonts w:hint="eastAsia"/>
          <w:color w:val="auto"/>
          <w:sz w:val="21"/>
          <w:szCs w:val="21"/>
        </w:rPr>
        <w:t>等业务。</w:t>
      </w:r>
    </w:p>
    <w:p w14:paraId="2D00146B">
      <w:pPr>
        <w:ind w:firstLine="420" w:firstLineChars="200"/>
        <w:rPr>
          <w:color w:val="auto"/>
          <w:sz w:val="21"/>
          <w:szCs w:val="21"/>
        </w:rPr>
      </w:pPr>
      <w:r>
        <w:rPr>
          <w:rFonts w:hint="eastAsia"/>
          <w:color w:val="auto"/>
          <w:sz w:val="21"/>
          <w:szCs w:val="21"/>
        </w:rPr>
        <w:t>茅坪港新设无线列调对讲通信系统服务器（含录音服务器）</w:t>
      </w:r>
      <w:r>
        <w:rPr>
          <w:color w:val="auto"/>
          <w:sz w:val="21"/>
          <w:szCs w:val="21"/>
        </w:rPr>
        <w:t>1</w:t>
      </w:r>
      <w:r>
        <w:rPr>
          <w:rFonts w:hint="eastAsia"/>
          <w:color w:val="auto"/>
          <w:sz w:val="21"/>
          <w:szCs w:val="21"/>
        </w:rPr>
        <w:t>套，以及无线列调对讲通信与直放站网管系统（含网管终端）各</w:t>
      </w:r>
      <w:r>
        <w:rPr>
          <w:color w:val="auto"/>
          <w:sz w:val="21"/>
          <w:szCs w:val="21"/>
        </w:rPr>
        <w:t>1</w:t>
      </w:r>
      <w:r>
        <w:rPr>
          <w:rFonts w:hint="eastAsia"/>
          <w:color w:val="auto"/>
          <w:sz w:val="21"/>
          <w:szCs w:val="21"/>
        </w:rPr>
        <w:t>套。无线平面调车通信系统</w:t>
      </w:r>
      <w:r>
        <w:rPr>
          <w:color w:val="auto"/>
          <w:sz w:val="21"/>
          <w:szCs w:val="21"/>
        </w:rPr>
        <w:t>1</w:t>
      </w:r>
      <w:r>
        <w:rPr>
          <w:rFonts w:hint="eastAsia"/>
          <w:color w:val="auto"/>
          <w:sz w:val="21"/>
          <w:szCs w:val="21"/>
        </w:rPr>
        <w:t>套。</w:t>
      </w:r>
    </w:p>
    <w:p w14:paraId="771C2236">
      <w:pPr>
        <w:ind w:firstLine="420" w:firstLineChars="200"/>
        <w:rPr>
          <w:color w:val="auto"/>
          <w:sz w:val="21"/>
          <w:szCs w:val="21"/>
        </w:rPr>
      </w:pPr>
      <w:r>
        <w:rPr>
          <w:rFonts w:hint="eastAsia"/>
          <w:color w:val="auto"/>
          <w:sz w:val="21"/>
          <w:szCs w:val="21"/>
        </w:rPr>
        <w:t>沿线每个车站及线路所均新设车站设备，包括</w:t>
      </w:r>
      <w:r>
        <w:rPr>
          <w:color w:val="auto"/>
          <w:sz w:val="21"/>
          <w:szCs w:val="21"/>
        </w:rPr>
        <w:t>1</w:t>
      </w:r>
      <w:r>
        <w:rPr>
          <w:rFonts w:hint="eastAsia"/>
          <w:color w:val="auto"/>
          <w:sz w:val="21"/>
          <w:szCs w:val="21"/>
        </w:rPr>
        <w:t>套无线列调对讲信道机、</w:t>
      </w:r>
      <w:r>
        <w:rPr>
          <w:color w:val="auto"/>
          <w:sz w:val="21"/>
          <w:szCs w:val="21"/>
        </w:rPr>
        <w:t>1</w:t>
      </w:r>
      <w:r>
        <w:rPr>
          <w:rFonts w:hint="eastAsia"/>
          <w:color w:val="auto"/>
          <w:sz w:val="21"/>
          <w:szCs w:val="21"/>
        </w:rPr>
        <w:t>套</w:t>
      </w:r>
      <w:r>
        <w:rPr>
          <w:color w:val="auto"/>
          <w:sz w:val="21"/>
          <w:szCs w:val="21"/>
        </w:rPr>
        <w:t>沿线施工防护通信</w:t>
      </w:r>
      <w:r>
        <w:rPr>
          <w:rFonts w:hint="eastAsia"/>
          <w:color w:val="auto"/>
          <w:sz w:val="21"/>
          <w:szCs w:val="21"/>
        </w:rPr>
        <w:t>、</w:t>
      </w:r>
      <w:r>
        <w:rPr>
          <w:color w:val="auto"/>
          <w:sz w:val="21"/>
          <w:szCs w:val="21"/>
        </w:rPr>
        <w:t>1</w:t>
      </w:r>
      <w:r>
        <w:rPr>
          <w:rFonts w:hint="eastAsia"/>
          <w:color w:val="auto"/>
          <w:sz w:val="21"/>
          <w:szCs w:val="21"/>
        </w:rPr>
        <w:t>套车站值班台设备及</w:t>
      </w:r>
      <w:r>
        <w:rPr>
          <w:color w:val="auto"/>
          <w:sz w:val="21"/>
          <w:szCs w:val="21"/>
        </w:rPr>
        <w:t>1</w:t>
      </w:r>
      <w:r>
        <w:rPr>
          <w:rFonts w:hint="eastAsia"/>
          <w:color w:val="auto"/>
          <w:sz w:val="21"/>
          <w:szCs w:val="21"/>
        </w:rPr>
        <w:t>套网络交换机。在区间弱场区设光纤直放站。</w:t>
      </w:r>
    </w:p>
    <w:p w14:paraId="0D596D8D">
      <w:pPr>
        <w:ind w:firstLine="420" w:firstLineChars="200"/>
        <w:rPr>
          <w:color w:val="auto"/>
          <w:sz w:val="21"/>
          <w:szCs w:val="21"/>
        </w:rPr>
      </w:pPr>
      <w:r>
        <w:rPr>
          <w:rFonts w:hint="eastAsia"/>
          <w:color w:val="auto"/>
          <w:sz w:val="21"/>
          <w:szCs w:val="21"/>
        </w:rPr>
        <w:t>每台机车均配置机车台（含天馈）、移动人员配置手持台。</w:t>
      </w:r>
    </w:p>
    <w:p w14:paraId="3ACC7E7C">
      <w:pPr>
        <w:ind w:firstLine="420" w:firstLineChars="200"/>
        <w:rPr>
          <w:color w:val="auto"/>
          <w:sz w:val="21"/>
          <w:szCs w:val="21"/>
        </w:rPr>
      </w:pPr>
      <w:r>
        <w:rPr>
          <w:rFonts w:hint="eastAsia"/>
          <w:color w:val="auto"/>
          <w:sz w:val="21"/>
          <w:szCs w:val="21"/>
        </w:rPr>
        <w:t>本系统设备间广域互联利用宜万线既有传输系统提供的专线通道，采用环型连接，接口类型为</w:t>
      </w:r>
      <w:r>
        <w:rPr>
          <w:color w:val="auto"/>
          <w:sz w:val="21"/>
          <w:szCs w:val="21"/>
        </w:rPr>
        <w:t>FE</w:t>
      </w:r>
      <w:r>
        <w:rPr>
          <w:rFonts w:hint="eastAsia"/>
          <w:color w:val="auto"/>
          <w:sz w:val="21"/>
          <w:szCs w:val="21"/>
        </w:rPr>
        <w:t>（</w:t>
      </w:r>
      <w:r>
        <w:rPr>
          <w:color w:val="auto"/>
          <w:sz w:val="21"/>
          <w:szCs w:val="21"/>
        </w:rPr>
        <w:t>e</w:t>
      </w:r>
      <w:r>
        <w:rPr>
          <w:rFonts w:hint="eastAsia"/>
          <w:color w:val="auto"/>
          <w:sz w:val="21"/>
          <w:szCs w:val="21"/>
        </w:rPr>
        <w:t>），通道带宽不小于</w:t>
      </w:r>
      <w:r>
        <w:rPr>
          <w:color w:val="auto"/>
          <w:sz w:val="21"/>
          <w:szCs w:val="21"/>
        </w:rPr>
        <w:t>2M</w:t>
      </w:r>
      <w:r>
        <w:rPr>
          <w:rFonts w:hint="eastAsia"/>
          <w:color w:val="auto"/>
          <w:sz w:val="21"/>
          <w:szCs w:val="21"/>
        </w:rPr>
        <w:t>。</w:t>
      </w:r>
    </w:p>
    <w:p w14:paraId="521D20BB">
      <w:pPr>
        <w:pStyle w:val="8"/>
        <w:rPr>
          <w:rFonts w:hint="eastAsia"/>
          <w:color w:val="auto"/>
          <w:kern w:val="2"/>
          <w:sz w:val="21"/>
          <w:szCs w:val="21"/>
        </w:rPr>
      </w:pPr>
      <w:bookmarkStart w:id="598" w:name="_Toc5656"/>
      <w:r>
        <w:rPr>
          <w:rFonts w:hint="eastAsia"/>
          <w:color w:val="auto"/>
          <w:kern w:val="2"/>
          <w:sz w:val="21"/>
          <w:szCs w:val="21"/>
        </w:rPr>
        <w:t>4．无线子系统建设方案</w:t>
      </w:r>
      <w:bookmarkEnd w:id="598"/>
    </w:p>
    <w:p w14:paraId="427D7CED">
      <w:pPr>
        <w:ind w:firstLine="420" w:firstLineChars="200"/>
        <w:rPr>
          <w:color w:val="auto"/>
          <w:sz w:val="21"/>
          <w:szCs w:val="21"/>
        </w:rPr>
      </w:pPr>
      <w:r>
        <w:rPr>
          <w:rFonts w:hint="eastAsia"/>
          <w:color w:val="auto"/>
          <w:sz w:val="21"/>
          <w:szCs w:val="21"/>
        </w:rPr>
        <w:t>本工程无线子系统采用普通单网覆盖方式。每处车站及线路所新设的</w:t>
      </w:r>
      <w:r>
        <w:rPr>
          <w:color w:val="auto"/>
          <w:sz w:val="21"/>
          <w:szCs w:val="21"/>
        </w:rPr>
        <w:t>2</w:t>
      </w:r>
      <w:r>
        <w:rPr>
          <w:rFonts w:hint="eastAsia"/>
          <w:color w:val="auto"/>
          <w:sz w:val="21"/>
          <w:szCs w:val="21"/>
        </w:rPr>
        <w:t>台信道机共用</w:t>
      </w:r>
      <w:r>
        <w:rPr>
          <w:color w:val="auto"/>
          <w:sz w:val="21"/>
          <w:szCs w:val="21"/>
        </w:rPr>
        <w:t>1</w:t>
      </w:r>
      <w:r>
        <w:rPr>
          <w:rFonts w:hint="eastAsia"/>
          <w:color w:val="auto"/>
          <w:sz w:val="21"/>
          <w:szCs w:val="21"/>
        </w:rPr>
        <w:t>套天馈系统。</w:t>
      </w:r>
    </w:p>
    <w:p w14:paraId="632E6584">
      <w:pPr>
        <w:ind w:firstLine="420" w:firstLineChars="200"/>
        <w:rPr>
          <w:color w:val="auto"/>
          <w:sz w:val="21"/>
          <w:szCs w:val="21"/>
        </w:rPr>
      </w:pPr>
      <w:r>
        <w:rPr>
          <w:rFonts w:hint="eastAsia"/>
          <w:color w:val="auto"/>
          <w:sz w:val="21"/>
          <w:szCs w:val="21"/>
        </w:rPr>
        <w:t>本项目</w:t>
      </w:r>
      <w:r>
        <w:rPr>
          <w:rFonts w:hint="eastAsia" w:hAnsi="宋体"/>
          <w:color w:val="auto"/>
          <w:sz w:val="21"/>
          <w:szCs w:val="21"/>
        </w:rPr>
        <w:t>按</w:t>
      </w:r>
      <w:r>
        <w:rPr>
          <w:rFonts w:hAnsi="宋体"/>
          <w:color w:val="auto"/>
          <w:sz w:val="21"/>
          <w:szCs w:val="21"/>
        </w:rPr>
        <w:t>95%</w:t>
      </w:r>
      <w:r>
        <w:rPr>
          <w:rFonts w:hint="eastAsia" w:hAnsi="宋体"/>
          <w:color w:val="auto"/>
          <w:sz w:val="21"/>
          <w:szCs w:val="21"/>
        </w:rPr>
        <w:t>的地点和时间统计概率，机车电台接收机输入端最小可用接收电平值不应低于</w:t>
      </w:r>
      <w:r>
        <w:rPr>
          <w:rFonts w:hAnsi="宋体"/>
          <w:color w:val="auto"/>
          <w:sz w:val="21"/>
          <w:szCs w:val="21"/>
        </w:rPr>
        <w:t>90</w:t>
      </w:r>
      <w:r>
        <w:rPr>
          <w:rFonts w:hAnsi="宋体"/>
          <w:color w:val="auto"/>
          <w:sz w:val="21"/>
          <w:szCs w:val="21"/>
          <w:lang w:val="en-GB"/>
        </w:rPr>
        <w:t>dB</w:t>
      </w:r>
      <w:r>
        <w:rPr>
          <w:rFonts w:hAnsi="宋体"/>
          <w:color w:val="auto"/>
          <w:sz w:val="21"/>
          <w:szCs w:val="21"/>
        </w:rPr>
        <w:t>m</w:t>
      </w:r>
      <w:r>
        <w:rPr>
          <w:rFonts w:hint="eastAsia"/>
          <w:color w:val="auto"/>
          <w:sz w:val="21"/>
          <w:szCs w:val="21"/>
        </w:rPr>
        <w:t>。</w:t>
      </w:r>
    </w:p>
    <w:p w14:paraId="05F9557E">
      <w:pPr>
        <w:ind w:firstLine="420" w:firstLineChars="200"/>
        <w:rPr>
          <w:color w:val="auto"/>
          <w:sz w:val="21"/>
          <w:szCs w:val="21"/>
        </w:rPr>
      </w:pPr>
      <w:r>
        <w:rPr>
          <w:rFonts w:hint="eastAsia"/>
          <w:color w:val="auto"/>
          <w:sz w:val="21"/>
          <w:szCs w:val="21"/>
        </w:rPr>
        <w:t>区间弱场区采用直放站</w:t>
      </w:r>
      <w:r>
        <w:rPr>
          <w:color w:val="auto"/>
          <w:sz w:val="21"/>
          <w:szCs w:val="21"/>
        </w:rPr>
        <w:t>+</w:t>
      </w:r>
      <w:r>
        <w:rPr>
          <w:rFonts w:hint="eastAsia"/>
          <w:color w:val="auto"/>
          <w:sz w:val="21"/>
          <w:szCs w:val="21"/>
        </w:rPr>
        <w:t>天线</w:t>
      </w:r>
      <w:r>
        <w:rPr>
          <w:color w:val="auto"/>
          <w:sz w:val="21"/>
          <w:szCs w:val="21"/>
        </w:rPr>
        <w:t>/</w:t>
      </w:r>
      <w:r>
        <w:rPr>
          <w:rFonts w:hint="eastAsia"/>
          <w:color w:val="auto"/>
          <w:sz w:val="21"/>
          <w:szCs w:val="21"/>
        </w:rPr>
        <w:t>漏缆方式覆盖。每个远端机与近端机之间利用本工程新设光缆的</w:t>
      </w:r>
      <w:r>
        <w:rPr>
          <w:color w:val="auto"/>
          <w:sz w:val="21"/>
          <w:szCs w:val="21"/>
        </w:rPr>
        <w:t>2</w:t>
      </w:r>
      <w:r>
        <w:rPr>
          <w:rFonts w:hint="eastAsia"/>
          <w:color w:val="auto"/>
          <w:sz w:val="21"/>
          <w:szCs w:val="21"/>
        </w:rPr>
        <w:t>芯光纤进行星型连接。隧道外利用天线覆盖，隧道内利用漏泄同轴电缆或天线覆盖。</w:t>
      </w:r>
    </w:p>
    <w:p w14:paraId="495182C3">
      <w:pPr>
        <w:ind w:firstLine="420" w:firstLineChars="200"/>
        <w:rPr>
          <w:rFonts w:hint="eastAsia" w:hAnsi="宋体"/>
          <w:color w:val="auto"/>
          <w:sz w:val="21"/>
          <w:szCs w:val="21"/>
        </w:rPr>
      </w:pPr>
      <w:r>
        <w:rPr>
          <w:rFonts w:hint="eastAsia" w:hAnsi="宋体"/>
          <w:color w:val="auto"/>
          <w:sz w:val="21"/>
          <w:szCs w:val="21"/>
        </w:rPr>
        <w:t>全线车站共设置</w:t>
      </w:r>
      <w:r>
        <w:rPr>
          <w:rFonts w:hAnsi="宋体"/>
          <w:color w:val="auto"/>
          <w:sz w:val="21"/>
          <w:szCs w:val="21"/>
        </w:rPr>
        <w:t>3</w:t>
      </w:r>
      <w:r>
        <w:rPr>
          <w:rFonts w:hint="eastAsia" w:hAnsi="宋体"/>
          <w:color w:val="auto"/>
          <w:sz w:val="21"/>
          <w:szCs w:val="21"/>
        </w:rPr>
        <w:t>套无线列调对讲信道机、</w:t>
      </w:r>
      <w:r>
        <w:rPr>
          <w:rFonts w:hAnsi="宋体"/>
          <w:color w:val="auto"/>
          <w:sz w:val="21"/>
          <w:szCs w:val="21"/>
        </w:rPr>
        <w:t>3</w:t>
      </w:r>
      <w:r>
        <w:rPr>
          <w:rFonts w:hint="eastAsia" w:hAnsi="宋体"/>
          <w:color w:val="auto"/>
          <w:sz w:val="21"/>
          <w:szCs w:val="21"/>
        </w:rPr>
        <w:t>套</w:t>
      </w:r>
      <w:r>
        <w:rPr>
          <w:color w:val="auto"/>
          <w:sz w:val="21"/>
          <w:szCs w:val="21"/>
        </w:rPr>
        <w:t>沿线施工防护通信</w:t>
      </w:r>
      <w:r>
        <w:rPr>
          <w:rFonts w:hint="eastAsia" w:hAnsi="宋体"/>
          <w:color w:val="auto"/>
          <w:sz w:val="21"/>
          <w:szCs w:val="21"/>
        </w:rPr>
        <w:t>、</w:t>
      </w:r>
      <w:r>
        <w:rPr>
          <w:rFonts w:hAnsi="宋体"/>
          <w:color w:val="auto"/>
          <w:sz w:val="21"/>
          <w:szCs w:val="21"/>
        </w:rPr>
        <w:t>3</w:t>
      </w:r>
      <w:r>
        <w:rPr>
          <w:rFonts w:hint="eastAsia" w:hAnsi="宋体"/>
          <w:color w:val="auto"/>
          <w:sz w:val="21"/>
          <w:szCs w:val="21"/>
        </w:rPr>
        <w:t>套车站值班台设备及</w:t>
      </w:r>
      <w:r>
        <w:rPr>
          <w:rFonts w:hAnsi="宋体"/>
          <w:color w:val="auto"/>
          <w:sz w:val="21"/>
          <w:szCs w:val="21"/>
        </w:rPr>
        <w:t>3</w:t>
      </w:r>
      <w:r>
        <w:rPr>
          <w:rFonts w:hint="eastAsia" w:hAnsi="宋体"/>
          <w:color w:val="auto"/>
          <w:sz w:val="21"/>
          <w:szCs w:val="21"/>
        </w:rPr>
        <w:t>套网络交换机，光纤直放站近端机</w:t>
      </w:r>
      <w:r>
        <w:rPr>
          <w:color w:val="auto"/>
          <w:sz w:val="21"/>
          <w:szCs w:val="21"/>
        </w:rPr>
        <w:t>3</w:t>
      </w:r>
      <w:r>
        <w:rPr>
          <w:rFonts w:hint="eastAsia" w:hAnsi="宋体"/>
          <w:color w:val="auto"/>
          <w:sz w:val="21"/>
          <w:szCs w:val="21"/>
        </w:rPr>
        <w:t>套（含备用</w:t>
      </w:r>
      <w:r>
        <w:rPr>
          <w:rFonts w:hAnsi="宋体"/>
          <w:color w:val="auto"/>
          <w:sz w:val="21"/>
          <w:szCs w:val="21"/>
        </w:rPr>
        <w:t>1</w:t>
      </w:r>
      <w:r>
        <w:rPr>
          <w:rFonts w:hint="eastAsia" w:hAnsi="宋体"/>
          <w:color w:val="auto"/>
          <w:sz w:val="21"/>
          <w:szCs w:val="21"/>
        </w:rPr>
        <w:t>套），光纤直放站远端机</w:t>
      </w:r>
      <w:r>
        <w:rPr>
          <w:color w:val="auto"/>
          <w:sz w:val="21"/>
          <w:szCs w:val="21"/>
        </w:rPr>
        <w:t>17</w:t>
      </w:r>
      <w:r>
        <w:rPr>
          <w:rFonts w:hint="eastAsia" w:hAnsi="宋体"/>
          <w:color w:val="auto"/>
          <w:sz w:val="21"/>
          <w:szCs w:val="21"/>
        </w:rPr>
        <w:t>套（含备用</w:t>
      </w:r>
      <w:r>
        <w:rPr>
          <w:rFonts w:hAnsi="宋体"/>
          <w:color w:val="auto"/>
          <w:sz w:val="21"/>
          <w:szCs w:val="21"/>
        </w:rPr>
        <w:t>2</w:t>
      </w:r>
      <w:r>
        <w:rPr>
          <w:rFonts w:hint="eastAsia" w:hAnsi="宋体"/>
          <w:color w:val="auto"/>
          <w:sz w:val="21"/>
          <w:szCs w:val="21"/>
        </w:rPr>
        <w:t>套）。</w:t>
      </w:r>
    </w:p>
    <w:p w14:paraId="57125153">
      <w:pPr>
        <w:ind w:firstLine="420" w:firstLineChars="200"/>
        <w:rPr>
          <w:color w:val="auto"/>
          <w:sz w:val="21"/>
          <w:szCs w:val="21"/>
        </w:rPr>
      </w:pPr>
      <w:r>
        <w:rPr>
          <w:rFonts w:hint="eastAsia"/>
          <w:color w:val="auto"/>
          <w:sz w:val="21"/>
          <w:szCs w:val="21"/>
        </w:rPr>
        <w:t>本系统工作频率为</w:t>
      </w:r>
      <w:r>
        <w:rPr>
          <w:color w:val="auto"/>
          <w:sz w:val="21"/>
          <w:szCs w:val="21"/>
        </w:rPr>
        <w:t>403MHz-423.5MHz</w:t>
      </w:r>
      <w:r>
        <w:rPr>
          <w:rFonts w:hint="eastAsia"/>
          <w:color w:val="auto"/>
          <w:sz w:val="21"/>
          <w:szCs w:val="21"/>
        </w:rPr>
        <w:t>频段，信道间隔</w:t>
      </w:r>
      <w:r>
        <w:rPr>
          <w:color w:val="auto"/>
          <w:sz w:val="21"/>
          <w:szCs w:val="21"/>
        </w:rPr>
        <w:t>12.5kHz</w:t>
      </w:r>
      <w:r>
        <w:rPr>
          <w:rFonts w:hint="eastAsia"/>
          <w:color w:val="auto"/>
          <w:sz w:val="21"/>
          <w:szCs w:val="21"/>
        </w:rPr>
        <w:t>。行车需要</w:t>
      </w:r>
      <w:r>
        <w:rPr>
          <w:color w:val="auto"/>
          <w:sz w:val="21"/>
          <w:szCs w:val="21"/>
        </w:rPr>
        <w:t>3</w:t>
      </w:r>
      <w:r>
        <w:rPr>
          <w:rFonts w:hint="eastAsia"/>
          <w:color w:val="auto"/>
          <w:sz w:val="21"/>
          <w:szCs w:val="21"/>
        </w:rPr>
        <w:t>对频点，</w:t>
      </w:r>
      <w:r>
        <w:rPr>
          <w:color w:val="auto"/>
          <w:sz w:val="21"/>
          <w:szCs w:val="21"/>
        </w:rPr>
        <w:t>沿线施工防护通信</w:t>
      </w:r>
      <w:r>
        <w:rPr>
          <w:rFonts w:hint="eastAsia"/>
          <w:color w:val="auto"/>
          <w:sz w:val="21"/>
          <w:szCs w:val="21"/>
        </w:rPr>
        <w:t>需要</w:t>
      </w:r>
      <w:r>
        <w:rPr>
          <w:color w:val="auto"/>
          <w:sz w:val="21"/>
          <w:szCs w:val="21"/>
        </w:rPr>
        <w:t>1</w:t>
      </w:r>
      <w:r>
        <w:rPr>
          <w:rFonts w:hint="eastAsia"/>
          <w:color w:val="auto"/>
          <w:sz w:val="21"/>
          <w:szCs w:val="21"/>
        </w:rPr>
        <w:t>对频点，平面调车</w:t>
      </w:r>
      <w:r>
        <w:rPr>
          <w:color w:val="auto"/>
          <w:sz w:val="21"/>
          <w:szCs w:val="21"/>
        </w:rPr>
        <w:t>1</w:t>
      </w:r>
      <w:r>
        <w:rPr>
          <w:rFonts w:hint="eastAsia"/>
          <w:color w:val="auto"/>
          <w:sz w:val="21"/>
          <w:szCs w:val="21"/>
        </w:rPr>
        <w:t>对频点，建议申请</w:t>
      </w:r>
      <w:r>
        <w:rPr>
          <w:color w:val="auto"/>
          <w:sz w:val="21"/>
          <w:szCs w:val="21"/>
        </w:rPr>
        <w:t>6</w:t>
      </w:r>
      <w:r>
        <w:rPr>
          <w:rFonts w:hint="eastAsia"/>
          <w:color w:val="auto"/>
          <w:sz w:val="21"/>
          <w:szCs w:val="21"/>
        </w:rPr>
        <w:t>对频点。实际使用频点以无线电管理委员会批复为准。</w:t>
      </w:r>
    </w:p>
    <w:p w14:paraId="74C6B8DD">
      <w:pPr>
        <w:pStyle w:val="8"/>
        <w:rPr>
          <w:rFonts w:hint="eastAsia"/>
          <w:color w:val="auto"/>
          <w:kern w:val="2"/>
          <w:sz w:val="21"/>
          <w:szCs w:val="21"/>
        </w:rPr>
      </w:pPr>
      <w:bookmarkStart w:id="599" w:name="_Toc3923"/>
      <w:r>
        <w:rPr>
          <w:rFonts w:hint="eastAsia"/>
          <w:color w:val="auto"/>
          <w:kern w:val="2"/>
          <w:sz w:val="21"/>
          <w:szCs w:val="21"/>
        </w:rPr>
        <w:t>5．其它无线设施设置方案</w:t>
      </w:r>
      <w:bookmarkEnd w:id="599"/>
    </w:p>
    <w:p w14:paraId="06AEDCB7">
      <w:pPr>
        <w:ind w:firstLine="420" w:firstLineChars="200"/>
        <w:rPr>
          <w:color w:val="auto"/>
          <w:sz w:val="21"/>
          <w:szCs w:val="21"/>
        </w:rPr>
      </w:pPr>
      <w:r>
        <w:rPr>
          <w:rFonts w:hint="eastAsia"/>
          <w:color w:val="auto"/>
          <w:sz w:val="21"/>
          <w:szCs w:val="21"/>
        </w:rPr>
        <w:t>（</w:t>
      </w:r>
      <w:r>
        <w:rPr>
          <w:color w:val="auto"/>
          <w:sz w:val="21"/>
          <w:szCs w:val="21"/>
        </w:rPr>
        <w:t>1</w:t>
      </w:r>
      <w:r>
        <w:rPr>
          <w:rFonts w:hint="eastAsia"/>
          <w:color w:val="auto"/>
          <w:sz w:val="21"/>
          <w:szCs w:val="21"/>
        </w:rPr>
        <w:t>）</w:t>
      </w:r>
      <w:r>
        <w:rPr>
          <w:rFonts w:hint="eastAsia" w:hAnsi="宋体"/>
          <w:color w:val="auto"/>
          <w:sz w:val="21"/>
          <w:szCs w:val="21"/>
        </w:rPr>
        <w:t>天线杆塔</w:t>
      </w:r>
    </w:p>
    <w:p w14:paraId="7D5617A4">
      <w:pPr>
        <w:ind w:firstLine="420" w:firstLineChars="200"/>
        <w:rPr>
          <w:color w:val="auto"/>
          <w:sz w:val="21"/>
          <w:szCs w:val="21"/>
        </w:rPr>
      </w:pPr>
      <w:r>
        <w:rPr>
          <w:rFonts w:hint="eastAsia"/>
          <w:color w:val="auto"/>
          <w:sz w:val="21"/>
          <w:szCs w:val="21"/>
        </w:rPr>
        <w:t>本工程新设天线杆塔类型及数量如下表所示。</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464"/>
        <w:gridCol w:w="3862"/>
      </w:tblGrid>
      <w:tr w14:paraId="5BA87E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2681" w:type="pct"/>
            <w:tcMar>
              <w:top w:w="0" w:type="dxa"/>
              <w:left w:w="0" w:type="dxa"/>
              <w:right w:w="0" w:type="dxa"/>
            </w:tcMar>
            <w:vAlign w:val="center"/>
          </w:tcPr>
          <w:p w14:paraId="6AD5F380">
            <w:pPr>
              <w:snapToGrid w:val="0"/>
              <w:jc w:val="center"/>
              <w:rPr>
                <w:color w:val="auto"/>
                <w:sz w:val="21"/>
                <w:szCs w:val="21"/>
              </w:rPr>
            </w:pPr>
            <w:r>
              <w:rPr>
                <w:rFonts w:hint="eastAsia"/>
                <w:color w:val="auto"/>
                <w:sz w:val="21"/>
                <w:szCs w:val="21"/>
              </w:rPr>
              <w:t>新设天线杆塔类型</w:t>
            </w:r>
          </w:p>
        </w:tc>
        <w:tc>
          <w:tcPr>
            <w:tcW w:w="2319" w:type="pct"/>
            <w:tcMar>
              <w:top w:w="0" w:type="dxa"/>
              <w:left w:w="0" w:type="dxa"/>
              <w:right w:w="0" w:type="dxa"/>
            </w:tcMar>
            <w:vAlign w:val="center"/>
          </w:tcPr>
          <w:p w14:paraId="2CEB5855">
            <w:pPr>
              <w:snapToGrid w:val="0"/>
              <w:jc w:val="center"/>
              <w:rPr>
                <w:color w:val="auto"/>
                <w:sz w:val="21"/>
                <w:szCs w:val="21"/>
              </w:rPr>
            </w:pPr>
            <w:r>
              <w:rPr>
                <w:rFonts w:hint="eastAsia"/>
                <w:color w:val="auto"/>
                <w:sz w:val="21"/>
                <w:szCs w:val="21"/>
              </w:rPr>
              <w:t>新设天线杆塔数量</w:t>
            </w:r>
          </w:p>
        </w:tc>
      </w:tr>
      <w:tr w14:paraId="566D5A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681" w:type="pct"/>
            <w:tcMar>
              <w:top w:w="0" w:type="dxa"/>
              <w:left w:w="0" w:type="dxa"/>
              <w:right w:w="0" w:type="dxa"/>
            </w:tcMar>
            <w:vAlign w:val="center"/>
          </w:tcPr>
          <w:p w14:paraId="6A1695EE">
            <w:pPr>
              <w:snapToGrid w:val="0"/>
              <w:jc w:val="center"/>
              <w:rPr>
                <w:color w:val="auto"/>
                <w:sz w:val="21"/>
                <w:szCs w:val="21"/>
              </w:rPr>
            </w:pPr>
            <w:r>
              <w:rPr>
                <w:rFonts w:hint="eastAsia"/>
                <w:color w:val="auto"/>
                <w:sz w:val="21"/>
                <w:szCs w:val="21"/>
              </w:rPr>
              <w:t>组合式角钢塔</w:t>
            </w:r>
            <w:r>
              <w:rPr>
                <w:color w:val="auto"/>
                <w:sz w:val="21"/>
                <w:szCs w:val="21"/>
              </w:rPr>
              <w:t>30</w:t>
            </w:r>
            <w:r>
              <w:rPr>
                <w:rFonts w:hint="eastAsia"/>
                <w:color w:val="auto"/>
                <w:sz w:val="21"/>
                <w:szCs w:val="21"/>
              </w:rPr>
              <w:t>米</w:t>
            </w:r>
          </w:p>
        </w:tc>
        <w:tc>
          <w:tcPr>
            <w:tcW w:w="2319" w:type="pct"/>
            <w:tcMar>
              <w:top w:w="0" w:type="dxa"/>
              <w:left w:w="0" w:type="dxa"/>
              <w:right w:w="0" w:type="dxa"/>
            </w:tcMar>
            <w:vAlign w:val="center"/>
          </w:tcPr>
          <w:p w14:paraId="7F82C285">
            <w:pPr>
              <w:snapToGrid w:val="0"/>
              <w:jc w:val="center"/>
              <w:rPr>
                <w:color w:val="auto"/>
                <w:sz w:val="21"/>
                <w:szCs w:val="21"/>
              </w:rPr>
            </w:pPr>
            <w:r>
              <w:rPr>
                <w:color w:val="auto"/>
                <w:sz w:val="21"/>
                <w:szCs w:val="21"/>
              </w:rPr>
              <w:t>1</w:t>
            </w:r>
          </w:p>
        </w:tc>
      </w:tr>
      <w:tr w14:paraId="6BA757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681" w:type="pct"/>
            <w:tcMar>
              <w:top w:w="0" w:type="dxa"/>
              <w:left w:w="0" w:type="dxa"/>
              <w:right w:w="0" w:type="dxa"/>
            </w:tcMar>
            <w:vAlign w:val="center"/>
          </w:tcPr>
          <w:p w14:paraId="3C2A80B1">
            <w:pPr>
              <w:snapToGrid w:val="0"/>
              <w:jc w:val="center"/>
              <w:rPr>
                <w:color w:val="auto"/>
                <w:sz w:val="21"/>
                <w:szCs w:val="21"/>
              </w:rPr>
            </w:pPr>
            <w:r>
              <w:rPr>
                <w:rFonts w:hint="eastAsia"/>
                <w:color w:val="auto"/>
                <w:sz w:val="21"/>
                <w:szCs w:val="21"/>
              </w:rPr>
              <w:t>组合式角钢塔</w:t>
            </w:r>
            <w:r>
              <w:rPr>
                <w:color w:val="auto"/>
                <w:sz w:val="21"/>
                <w:szCs w:val="21"/>
              </w:rPr>
              <w:t>40</w:t>
            </w:r>
            <w:r>
              <w:rPr>
                <w:rFonts w:hint="eastAsia"/>
                <w:color w:val="auto"/>
                <w:sz w:val="21"/>
                <w:szCs w:val="21"/>
              </w:rPr>
              <w:t>米</w:t>
            </w:r>
          </w:p>
        </w:tc>
        <w:tc>
          <w:tcPr>
            <w:tcW w:w="2319" w:type="pct"/>
            <w:tcMar>
              <w:top w:w="0" w:type="dxa"/>
              <w:left w:w="0" w:type="dxa"/>
              <w:right w:w="0" w:type="dxa"/>
            </w:tcMar>
            <w:vAlign w:val="center"/>
          </w:tcPr>
          <w:p w14:paraId="4597CD2F">
            <w:pPr>
              <w:snapToGrid w:val="0"/>
              <w:jc w:val="center"/>
              <w:rPr>
                <w:color w:val="auto"/>
                <w:sz w:val="21"/>
                <w:szCs w:val="21"/>
              </w:rPr>
            </w:pPr>
            <w:r>
              <w:rPr>
                <w:color w:val="auto"/>
                <w:sz w:val="21"/>
                <w:szCs w:val="21"/>
              </w:rPr>
              <w:t>1</w:t>
            </w:r>
          </w:p>
        </w:tc>
      </w:tr>
      <w:tr w14:paraId="760BEF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681" w:type="pct"/>
            <w:tcMar>
              <w:top w:w="0" w:type="dxa"/>
              <w:left w:w="0" w:type="dxa"/>
              <w:right w:w="0" w:type="dxa"/>
            </w:tcMar>
            <w:vAlign w:val="center"/>
          </w:tcPr>
          <w:p w14:paraId="0DD376CE">
            <w:pPr>
              <w:snapToGrid w:val="0"/>
              <w:jc w:val="center"/>
              <w:rPr>
                <w:color w:val="auto"/>
                <w:sz w:val="21"/>
                <w:szCs w:val="21"/>
              </w:rPr>
            </w:pPr>
            <w:r>
              <w:rPr>
                <w:rFonts w:hint="eastAsia"/>
                <w:color w:val="auto"/>
                <w:sz w:val="21"/>
                <w:szCs w:val="21"/>
              </w:rPr>
              <w:t>隧道口天线杆</w:t>
            </w:r>
            <w:r>
              <w:rPr>
                <w:color w:val="auto"/>
                <w:sz w:val="21"/>
                <w:szCs w:val="21"/>
              </w:rPr>
              <w:t xml:space="preserve"> </w:t>
            </w:r>
            <w:r>
              <w:rPr>
                <w:rFonts w:hint="eastAsia"/>
                <w:color w:val="auto"/>
                <w:sz w:val="21"/>
                <w:szCs w:val="21"/>
              </w:rPr>
              <w:t>杆高</w:t>
            </w:r>
            <w:r>
              <w:rPr>
                <w:color w:val="auto"/>
                <w:sz w:val="21"/>
                <w:szCs w:val="21"/>
              </w:rPr>
              <w:t>2.2m</w:t>
            </w:r>
          </w:p>
        </w:tc>
        <w:tc>
          <w:tcPr>
            <w:tcW w:w="2319" w:type="pct"/>
            <w:tcMar>
              <w:top w:w="0" w:type="dxa"/>
              <w:left w:w="0" w:type="dxa"/>
              <w:right w:w="0" w:type="dxa"/>
            </w:tcMar>
            <w:vAlign w:val="center"/>
          </w:tcPr>
          <w:p w14:paraId="04817902">
            <w:pPr>
              <w:snapToGrid w:val="0"/>
              <w:jc w:val="center"/>
              <w:rPr>
                <w:color w:val="auto"/>
                <w:sz w:val="21"/>
                <w:szCs w:val="21"/>
              </w:rPr>
            </w:pPr>
            <w:r>
              <w:rPr>
                <w:color w:val="auto"/>
                <w:sz w:val="21"/>
                <w:szCs w:val="21"/>
              </w:rPr>
              <w:t>20</w:t>
            </w:r>
          </w:p>
        </w:tc>
      </w:tr>
      <w:tr w14:paraId="1515A6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681" w:type="pct"/>
            <w:tcMar>
              <w:top w:w="0" w:type="dxa"/>
              <w:left w:w="0" w:type="dxa"/>
              <w:right w:w="0" w:type="dxa"/>
            </w:tcMar>
            <w:vAlign w:val="center"/>
          </w:tcPr>
          <w:p w14:paraId="42F8C701">
            <w:pPr>
              <w:snapToGrid w:val="0"/>
              <w:jc w:val="center"/>
              <w:rPr>
                <w:rFonts w:hint="eastAsia" w:hAnsi="宋体"/>
                <w:color w:val="auto"/>
                <w:sz w:val="21"/>
                <w:szCs w:val="21"/>
              </w:rPr>
            </w:pPr>
            <w:r>
              <w:rPr>
                <w:rFonts w:hint="eastAsia" w:hAnsi="宋体"/>
                <w:color w:val="auto"/>
                <w:sz w:val="21"/>
                <w:szCs w:val="21"/>
              </w:rPr>
              <w:t>地面钢杆12米</w:t>
            </w:r>
          </w:p>
        </w:tc>
        <w:tc>
          <w:tcPr>
            <w:tcW w:w="2319" w:type="pct"/>
            <w:tcMar>
              <w:top w:w="0" w:type="dxa"/>
              <w:left w:w="0" w:type="dxa"/>
              <w:right w:w="0" w:type="dxa"/>
            </w:tcMar>
            <w:vAlign w:val="center"/>
          </w:tcPr>
          <w:p w14:paraId="5CF744C2">
            <w:pPr>
              <w:snapToGrid w:val="0"/>
              <w:jc w:val="center"/>
              <w:rPr>
                <w:color w:val="auto"/>
                <w:sz w:val="21"/>
                <w:szCs w:val="21"/>
              </w:rPr>
            </w:pPr>
            <w:r>
              <w:rPr>
                <w:rFonts w:hint="eastAsia"/>
                <w:color w:val="auto"/>
                <w:sz w:val="21"/>
                <w:szCs w:val="21"/>
              </w:rPr>
              <w:t>1</w:t>
            </w:r>
          </w:p>
        </w:tc>
      </w:tr>
      <w:tr w14:paraId="2BF246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681" w:type="pct"/>
            <w:tcMar>
              <w:top w:w="0" w:type="dxa"/>
              <w:left w:w="0" w:type="dxa"/>
              <w:right w:w="0" w:type="dxa"/>
            </w:tcMar>
            <w:vAlign w:val="center"/>
          </w:tcPr>
          <w:p w14:paraId="7AA86A1A">
            <w:pPr>
              <w:snapToGrid w:val="0"/>
              <w:jc w:val="center"/>
              <w:rPr>
                <w:color w:val="auto"/>
                <w:sz w:val="21"/>
                <w:szCs w:val="21"/>
              </w:rPr>
            </w:pPr>
            <w:r>
              <w:rPr>
                <w:rFonts w:hint="eastAsia" w:hAnsi="宋体"/>
                <w:color w:val="auto"/>
                <w:sz w:val="21"/>
                <w:szCs w:val="21"/>
              </w:rPr>
              <w:t>合计</w:t>
            </w:r>
          </w:p>
        </w:tc>
        <w:tc>
          <w:tcPr>
            <w:tcW w:w="2319" w:type="pct"/>
            <w:tcMar>
              <w:top w:w="0" w:type="dxa"/>
              <w:left w:w="0" w:type="dxa"/>
              <w:right w:w="0" w:type="dxa"/>
            </w:tcMar>
            <w:vAlign w:val="center"/>
          </w:tcPr>
          <w:p w14:paraId="29FB622E">
            <w:pPr>
              <w:snapToGrid w:val="0"/>
              <w:jc w:val="center"/>
              <w:rPr>
                <w:color w:val="auto"/>
                <w:sz w:val="21"/>
                <w:szCs w:val="21"/>
              </w:rPr>
            </w:pPr>
            <w:r>
              <w:rPr>
                <w:color w:val="auto"/>
                <w:sz w:val="21"/>
                <w:szCs w:val="21"/>
              </w:rPr>
              <w:t>2</w:t>
            </w:r>
            <w:r>
              <w:rPr>
                <w:rFonts w:hint="eastAsia"/>
                <w:color w:val="auto"/>
                <w:sz w:val="21"/>
                <w:szCs w:val="21"/>
              </w:rPr>
              <w:t>3</w:t>
            </w:r>
          </w:p>
        </w:tc>
      </w:tr>
    </w:tbl>
    <w:p w14:paraId="088A09F0">
      <w:pPr>
        <w:spacing w:before="120"/>
        <w:ind w:firstLine="420" w:firstLineChars="200"/>
        <w:rPr>
          <w:color w:val="auto"/>
          <w:sz w:val="21"/>
          <w:szCs w:val="21"/>
        </w:rPr>
      </w:pPr>
      <w:r>
        <w:rPr>
          <w:rFonts w:hint="eastAsia"/>
          <w:color w:val="auto"/>
          <w:sz w:val="21"/>
          <w:szCs w:val="21"/>
        </w:rPr>
        <w:t>自立杆塔由铁塔厂商设计、制造，杆塔采购后，由采购方提交铁塔相关参数，由结构专业进行基础设计。自立杆塔设置护栏及相关的标识。</w:t>
      </w:r>
    </w:p>
    <w:p w14:paraId="32ABE6D3">
      <w:pPr>
        <w:ind w:firstLine="420" w:firstLineChars="200"/>
        <w:rPr>
          <w:color w:val="auto"/>
          <w:sz w:val="21"/>
          <w:szCs w:val="21"/>
        </w:rPr>
      </w:pPr>
      <w:r>
        <w:rPr>
          <w:rFonts w:hint="eastAsia"/>
          <w:color w:val="auto"/>
          <w:sz w:val="21"/>
          <w:szCs w:val="21"/>
        </w:rPr>
        <w:t>隧道口天线采用隧道洞口挡墙膨胀螺栓固定天线杆的安装方式。</w:t>
      </w:r>
    </w:p>
    <w:p w14:paraId="07C2EDB2">
      <w:pPr>
        <w:ind w:firstLine="420" w:firstLineChars="200"/>
        <w:rPr>
          <w:color w:val="auto"/>
          <w:sz w:val="21"/>
          <w:szCs w:val="21"/>
        </w:rPr>
      </w:pPr>
      <w:r>
        <w:rPr>
          <w:rFonts w:hint="eastAsia"/>
          <w:color w:val="auto"/>
          <w:sz w:val="21"/>
          <w:szCs w:val="21"/>
        </w:rPr>
        <w:t>（</w:t>
      </w:r>
      <w:r>
        <w:rPr>
          <w:color w:val="auto"/>
          <w:sz w:val="21"/>
          <w:szCs w:val="21"/>
        </w:rPr>
        <w:t>2</w:t>
      </w:r>
      <w:r>
        <w:rPr>
          <w:rFonts w:hint="eastAsia"/>
          <w:color w:val="auto"/>
          <w:sz w:val="21"/>
          <w:szCs w:val="21"/>
        </w:rPr>
        <w:t>）</w:t>
      </w:r>
      <w:r>
        <w:rPr>
          <w:rFonts w:hint="eastAsia" w:hAnsi="宋体"/>
          <w:color w:val="auto"/>
          <w:sz w:val="21"/>
          <w:szCs w:val="21"/>
        </w:rPr>
        <w:t>设备布置</w:t>
      </w:r>
    </w:p>
    <w:p w14:paraId="5C256C40">
      <w:pPr>
        <w:ind w:firstLine="420" w:firstLineChars="200"/>
        <w:rPr>
          <w:color w:val="auto"/>
          <w:sz w:val="21"/>
          <w:szCs w:val="21"/>
        </w:rPr>
      </w:pPr>
      <w:r>
        <w:rPr>
          <w:rFonts w:hint="eastAsia"/>
          <w:color w:val="auto"/>
          <w:sz w:val="21"/>
          <w:szCs w:val="21"/>
        </w:rPr>
        <w:t>宜昌南站新设</w:t>
      </w:r>
      <w:r>
        <w:rPr>
          <w:color w:val="auto"/>
          <w:sz w:val="21"/>
          <w:szCs w:val="21"/>
        </w:rPr>
        <w:t>1</w:t>
      </w:r>
      <w:r>
        <w:rPr>
          <w:rFonts w:hint="eastAsia"/>
          <w:color w:val="auto"/>
          <w:sz w:val="21"/>
          <w:szCs w:val="21"/>
        </w:rPr>
        <w:t>套</w:t>
      </w:r>
      <w:r>
        <w:rPr>
          <w:color w:val="auto"/>
          <w:sz w:val="21"/>
          <w:szCs w:val="21"/>
        </w:rPr>
        <w:t>600mm*600mm*2200m</w:t>
      </w:r>
      <w:r>
        <w:rPr>
          <w:rFonts w:hint="eastAsia"/>
          <w:color w:val="auto"/>
          <w:sz w:val="21"/>
          <w:szCs w:val="21"/>
        </w:rPr>
        <w:t>机柜，用于内置</w:t>
      </w:r>
      <w:r>
        <w:rPr>
          <w:color w:val="auto"/>
          <w:sz w:val="21"/>
          <w:szCs w:val="21"/>
        </w:rPr>
        <w:t>2</w:t>
      </w:r>
      <w:r>
        <w:rPr>
          <w:rFonts w:hint="eastAsia"/>
          <w:color w:val="auto"/>
          <w:sz w:val="21"/>
          <w:szCs w:val="21"/>
        </w:rPr>
        <w:t>套信道机（无线列调对讲</w:t>
      </w:r>
      <w:r>
        <w:rPr>
          <w:color w:val="auto"/>
          <w:sz w:val="21"/>
          <w:szCs w:val="21"/>
        </w:rPr>
        <w:t>1</w:t>
      </w:r>
      <w:r>
        <w:rPr>
          <w:rFonts w:hint="eastAsia"/>
          <w:color w:val="auto"/>
          <w:sz w:val="21"/>
          <w:szCs w:val="21"/>
        </w:rPr>
        <w:t>套、</w:t>
      </w:r>
      <w:r>
        <w:rPr>
          <w:color w:val="auto"/>
          <w:sz w:val="21"/>
          <w:szCs w:val="21"/>
        </w:rPr>
        <w:t>沿线施工防护通信1</w:t>
      </w:r>
      <w:r>
        <w:rPr>
          <w:rFonts w:hint="eastAsia"/>
          <w:color w:val="auto"/>
          <w:sz w:val="21"/>
          <w:szCs w:val="21"/>
        </w:rPr>
        <w:t>套）、百兆网络交换机（茅坪港站</w:t>
      </w:r>
      <w:r>
        <w:rPr>
          <w:color w:val="auto"/>
          <w:sz w:val="21"/>
          <w:szCs w:val="21"/>
        </w:rPr>
        <w:t>24</w:t>
      </w:r>
      <w:r>
        <w:rPr>
          <w:rFonts w:hint="eastAsia"/>
          <w:color w:val="auto"/>
          <w:sz w:val="21"/>
          <w:szCs w:val="21"/>
        </w:rPr>
        <w:t>口，其它车站</w:t>
      </w:r>
      <w:r>
        <w:rPr>
          <w:color w:val="auto"/>
          <w:sz w:val="21"/>
          <w:szCs w:val="21"/>
        </w:rPr>
        <w:t>16</w:t>
      </w:r>
      <w:r>
        <w:rPr>
          <w:rFonts w:hint="eastAsia"/>
          <w:color w:val="auto"/>
          <w:sz w:val="21"/>
          <w:szCs w:val="21"/>
        </w:rPr>
        <w:t>口）、车站值班台设备</w:t>
      </w:r>
      <w:r>
        <w:rPr>
          <w:color w:val="auto"/>
          <w:sz w:val="21"/>
          <w:szCs w:val="21"/>
        </w:rPr>
        <w:t>1</w:t>
      </w:r>
      <w:r>
        <w:rPr>
          <w:rFonts w:hint="eastAsia"/>
          <w:color w:val="auto"/>
          <w:sz w:val="21"/>
          <w:szCs w:val="21"/>
        </w:rPr>
        <w:t>套，光纤直放站近端机</w:t>
      </w:r>
      <w:r>
        <w:rPr>
          <w:color w:val="auto"/>
          <w:sz w:val="21"/>
          <w:szCs w:val="21"/>
        </w:rPr>
        <w:t>1</w:t>
      </w:r>
      <w:r>
        <w:rPr>
          <w:rFonts w:hint="eastAsia"/>
          <w:color w:val="auto"/>
          <w:sz w:val="21"/>
          <w:szCs w:val="21"/>
        </w:rPr>
        <w:t>套。</w:t>
      </w:r>
    </w:p>
    <w:p w14:paraId="22B6C1FF">
      <w:pPr>
        <w:ind w:firstLine="420" w:firstLineChars="200"/>
        <w:rPr>
          <w:color w:val="auto"/>
          <w:sz w:val="21"/>
          <w:szCs w:val="21"/>
        </w:rPr>
      </w:pPr>
      <w:r>
        <w:rPr>
          <w:rFonts w:hint="eastAsia"/>
          <w:color w:val="auto"/>
          <w:sz w:val="21"/>
          <w:szCs w:val="21"/>
        </w:rPr>
        <w:t>（</w:t>
      </w:r>
      <w:r>
        <w:rPr>
          <w:color w:val="auto"/>
          <w:sz w:val="21"/>
          <w:szCs w:val="21"/>
        </w:rPr>
        <w:t>3</w:t>
      </w:r>
      <w:r>
        <w:rPr>
          <w:rFonts w:hint="eastAsia"/>
          <w:color w:val="auto"/>
          <w:sz w:val="21"/>
          <w:szCs w:val="21"/>
        </w:rPr>
        <w:t>）</w:t>
      </w:r>
      <w:r>
        <w:rPr>
          <w:rFonts w:hint="eastAsia" w:hAnsi="宋体"/>
          <w:color w:val="auto"/>
          <w:sz w:val="21"/>
          <w:szCs w:val="21"/>
        </w:rPr>
        <w:t>漏缆</w:t>
      </w:r>
    </w:p>
    <w:p w14:paraId="583D18F2">
      <w:pPr>
        <w:ind w:firstLine="420" w:firstLineChars="200"/>
        <w:rPr>
          <w:rFonts w:hint="eastAsia" w:hAnsi="宋体"/>
          <w:color w:val="auto"/>
          <w:sz w:val="21"/>
          <w:szCs w:val="21"/>
        </w:rPr>
      </w:pPr>
      <w:r>
        <w:rPr>
          <w:rFonts w:hint="eastAsia" w:hAnsi="宋体"/>
          <w:color w:val="auto"/>
          <w:sz w:val="21"/>
          <w:szCs w:val="21"/>
        </w:rPr>
        <w:t>本工程在全线</w:t>
      </w:r>
      <w:r>
        <w:rPr>
          <w:rFonts w:hAnsi="宋体"/>
          <w:color w:val="auto"/>
          <w:sz w:val="21"/>
          <w:szCs w:val="21"/>
        </w:rPr>
        <w:t>12</w:t>
      </w:r>
      <w:r>
        <w:rPr>
          <w:rFonts w:hint="eastAsia" w:hAnsi="宋体"/>
          <w:color w:val="auto"/>
          <w:sz w:val="21"/>
          <w:szCs w:val="21"/>
        </w:rPr>
        <w:t>座隧道中隧道壁挂设漏缆，隧道外不设漏缆。本工程共设置漏缆</w:t>
      </w:r>
      <w:r>
        <w:rPr>
          <w:color w:val="auto"/>
          <w:sz w:val="21"/>
          <w:szCs w:val="21"/>
        </w:rPr>
        <w:t>31.67k</w:t>
      </w:r>
      <w:r>
        <w:rPr>
          <w:rFonts w:hAnsi="宋体"/>
          <w:color w:val="auto"/>
          <w:sz w:val="21"/>
          <w:szCs w:val="21"/>
        </w:rPr>
        <w:t>m</w:t>
      </w:r>
      <w:r>
        <w:rPr>
          <w:rFonts w:hint="eastAsia" w:hAnsi="宋体"/>
          <w:color w:val="auto"/>
          <w:sz w:val="21"/>
          <w:szCs w:val="21"/>
        </w:rPr>
        <w:t>。</w:t>
      </w:r>
    </w:p>
    <w:p w14:paraId="3AF2D66E">
      <w:pPr>
        <w:ind w:firstLine="420" w:firstLineChars="200"/>
        <w:rPr>
          <w:color w:val="auto"/>
          <w:sz w:val="21"/>
          <w:szCs w:val="21"/>
        </w:rPr>
      </w:pPr>
      <w:r>
        <w:rPr>
          <w:rFonts w:hint="eastAsia"/>
          <w:color w:val="auto"/>
          <w:sz w:val="21"/>
          <w:szCs w:val="21"/>
        </w:rPr>
        <w:t>隧道内漏缆采用专用卡具架设，漏缆的相邻两卡具之间的距离为</w:t>
      </w:r>
      <w:r>
        <w:rPr>
          <w:color w:val="auto"/>
          <w:sz w:val="21"/>
          <w:szCs w:val="21"/>
        </w:rPr>
        <w:t>1000mm</w:t>
      </w:r>
      <w:r>
        <w:rPr>
          <w:rFonts w:hint="eastAsia"/>
          <w:color w:val="auto"/>
          <w:sz w:val="21"/>
          <w:szCs w:val="21"/>
        </w:rPr>
        <w:t>（可根据现场实际情况在</w:t>
      </w:r>
      <w:r>
        <w:rPr>
          <w:color w:val="auto"/>
          <w:sz w:val="21"/>
          <w:szCs w:val="21"/>
        </w:rPr>
        <w:t>900mm</w:t>
      </w:r>
      <w:r>
        <w:rPr>
          <w:rFonts w:hint="eastAsia"/>
          <w:color w:val="auto"/>
          <w:sz w:val="21"/>
          <w:szCs w:val="21"/>
        </w:rPr>
        <w:t>至</w:t>
      </w:r>
      <w:r>
        <w:rPr>
          <w:color w:val="auto"/>
          <w:sz w:val="21"/>
          <w:szCs w:val="21"/>
        </w:rPr>
        <w:t>1100mm</w:t>
      </w:r>
      <w:r>
        <w:rPr>
          <w:rFonts w:hint="eastAsia"/>
          <w:color w:val="auto"/>
          <w:sz w:val="21"/>
          <w:szCs w:val="21"/>
        </w:rPr>
        <w:t>范围内调整），每</w:t>
      </w:r>
      <w:r>
        <w:rPr>
          <w:color w:val="auto"/>
          <w:sz w:val="21"/>
          <w:szCs w:val="21"/>
        </w:rPr>
        <w:t>10</w:t>
      </w:r>
      <w:r>
        <w:rPr>
          <w:rFonts w:hint="eastAsia"/>
          <w:color w:val="auto"/>
          <w:sz w:val="21"/>
          <w:szCs w:val="21"/>
        </w:rPr>
        <w:t>个卡具里设</w:t>
      </w:r>
      <w:r>
        <w:rPr>
          <w:color w:val="auto"/>
          <w:sz w:val="21"/>
          <w:szCs w:val="21"/>
        </w:rPr>
        <w:t>1</w:t>
      </w:r>
      <w:r>
        <w:rPr>
          <w:rFonts w:hint="eastAsia"/>
          <w:color w:val="auto"/>
          <w:sz w:val="21"/>
          <w:szCs w:val="21"/>
        </w:rPr>
        <w:t>个防火卡具。隧道内漏缆及卡具等安装件的安装位置均不得侵入铁路行车限界，架设高度距离钢轨顶面</w:t>
      </w:r>
      <w:r>
        <w:rPr>
          <w:color w:val="auto"/>
          <w:sz w:val="21"/>
          <w:szCs w:val="21"/>
        </w:rPr>
        <w:t>3</w:t>
      </w:r>
      <w:r>
        <w:rPr>
          <w:rFonts w:hint="eastAsia"/>
          <w:color w:val="auto"/>
          <w:sz w:val="21"/>
          <w:szCs w:val="21"/>
        </w:rPr>
        <w:t>至</w:t>
      </w:r>
      <w:r>
        <w:rPr>
          <w:color w:val="auto"/>
          <w:sz w:val="21"/>
          <w:szCs w:val="21"/>
        </w:rPr>
        <w:t>3.3</w:t>
      </w:r>
      <w:r>
        <w:rPr>
          <w:rFonts w:hint="eastAsia"/>
          <w:color w:val="auto"/>
          <w:sz w:val="21"/>
          <w:szCs w:val="21"/>
        </w:rPr>
        <w:t>米。</w:t>
      </w:r>
    </w:p>
    <w:p w14:paraId="1118FDA0">
      <w:pPr>
        <w:ind w:firstLine="420" w:firstLineChars="200"/>
        <w:rPr>
          <w:color w:val="auto"/>
          <w:sz w:val="21"/>
          <w:szCs w:val="21"/>
        </w:rPr>
      </w:pPr>
      <w:r>
        <w:rPr>
          <w:rFonts w:hint="eastAsia"/>
          <w:color w:val="auto"/>
          <w:sz w:val="21"/>
          <w:szCs w:val="21"/>
        </w:rPr>
        <w:t>漏缆外导体的开槽口应面对机车车顶天线方向。</w:t>
      </w:r>
    </w:p>
    <w:p w14:paraId="06C6976E">
      <w:pPr>
        <w:ind w:firstLine="420" w:firstLineChars="200"/>
        <w:rPr>
          <w:color w:val="auto"/>
          <w:sz w:val="21"/>
          <w:szCs w:val="21"/>
        </w:rPr>
      </w:pPr>
      <w:r>
        <w:rPr>
          <w:rFonts w:hint="eastAsia"/>
          <w:color w:val="auto"/>
          <w:sz w:val="21"/>
          <w:szCs w:val="21"/>
        </w:rPr>
        <w:t>本工程安装漏缆的隧道如下表所示。</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1072"/>
        <w:gridCol w:w="2300"/>
        <w:gridCol w:w="2652"/>
        <w:gridCol w:w="2302"/>
      </w:tblGrid>
      <w:tr w14:paraId="0CDF59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FFFFFF"/>
          <w:tblCellMar>
            <w:top w:w="0" w:type="dxa"/>
            <w:left w:w="0" w:type="dxa"/>
            <w:bottom w:w="0" w:type="dxa"/>
            <w:right w:w="0" w:type="dxa"/>
          </w:tblCellMar>
        </w:tblPrEx>
        <w:trPr>
          <w:trHeight w:val="567" w:hRule="atLeast"/>
          <w:tblHeader/>
          <w:jc w:val="center"/>
        </w:trPr>
        <w:tc>
          <w:tcPr>
            <w:tcW w:w="644" w:type="pct"/>
            <w:tcBorders>
              <w:top w:val="single" w:color="auto" w:sz="8" w:space="0"/>
              <w:left w:val="single" w:color="auto" w:sz="8" w:space="0"/>
              <w:bottom w:val="single" w:color="auto" w:sz="4" w:space="0"/>
              <w:right w:val="single" w:color="auto" w:sz="4" w:space="0"/>
            </w:tcBorders>
            <w:shd w:val="clear" w:color="auto" w:fill="FFFFFF"/>
            <w:tcMar>
              <w:top w:w="0" w:type="dxa"/>
              <w:left w:w="0" w:type="dxa"/>
              <w:right w:w="0" w:type="dxa"/>
            </w:tcMar>
            <w:vAlign w:val="center"/>
          </w:tcPr>
          <w:p w14:paraId="0BAC0233">
            <w:pPr>
              <w:snapToGrid w:val="0"/>
              <w:jc w:val="center"/>
              <w:rPr>
                <w:color w:val="auto"/>
                <w:sz w:val="21"/>
                <w:szCs w:val="21"/>
              </w:rPr>
            </w:pPr>
            <w:r>
              <w:rPr>
                <w:rFonts w:hint="eastAsia"/>
                <w:color w:val="auto"/>
                <w:sz w:val="21"/>
                <w:szCs w:val="21"/>
              </w:rPr>
              <w:t>序号</w:t>
            </w:r>
          </w:p>
        </w:tc>
        <w:tc>
          <w:tcPr>
            <w:tcW w:w="1381" w:type="pct"/>
            <w:tcBorders>
              <w:top w:val="single" w:color="auto" w:sz="8"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60DD0A95">
            <w:pPr>
              <w:snapToGrid w:val="0"/>
              <w:jc w:val="center"/>
              <w:rPr>
                <w:color w:val="auto"/>
                <w:sz w:val="21"/>
                <w:szCs w:val="21"/>
              </w:rPr>
            </w:pPr>
            <w:r>
              <w:rPr>
                <w:rFonts w:hint="eastAsia"/>
                <w:color w:val="auto"/>
                <w:sz w:val="21"/>
                <w:szCs w:val="21"/>
              </w:rPr>
              <w:t>隧道名称</w:t>
            </w:r>
          </w:p>
        </w:tc>
        <w:tc>
          <w:tcPr>
            <w:tcW w:w="1592" w:type="pct"/>
            <w:tcBorders>
              <w:top w:val="single" w:color="auto" w:sz="8"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1AEBEED7">
            <w:pPr>
              <w:snapToGrid w:val="0"/>
              <w:jc w:val="center"/>
              <w:rPr>
                <w:color w:val="auto"/>
                <w:sz w:val="21"/>
                <w:szCs w:val="21"/>
              </w:rPr>
            </w:pPr>
            <w:r>
              <w:rPr>
                <w:rFonts w:hint="eastAsia"/>
                <w:color w:val="auto"/>
                <w:sz w:val="21"/>
                <w:szCs w:val="21"/>
              </w:rPr>
              <w:t>隧道长度（米）</w:t>
            </w:r>
          </w:p>
        </w:tc>
        <w:tc>
          <w:tcPr>
            <w:tcW w:w="1382" w:type="pct"/>
            <w:tcBorders>
              <w:top w:val="single" w:color="auto" w:sz="8" w:space="0"/>
              <w:left w:val="single" w:color="auto" w:sz="4" w:space="0"/>
              <w:bottom w:val="single" w:color="auto" w:sz="4" w:space="0"/>
              <w:right w:val="single" w:color="auto" w:sz="8" w:space="0"/>
            </w:tcBorders>
            <w:shd w:val="clear" w:color="auto" w:fill="FFFFFF"/>
            <w:tcMar>
              <w:top w:w="0" w:type="dxa"/>
              <w:left w:w="0" w:type="dxa"/>
              <w:right w:w="0" w:type="dxa"/>
            </w:tcMar>
            <w:vAlign w:val="center"/>
          </w:tcPr>
          <w:p w14:paraId="6836797B">
            <w:pPr>
              <w:snapToGrid w:val="0"/>
              <w:jc w:val="center"/>
              <w:rPr>
                <w:color w:val="auto"/>
                <w:sz w:val="21"/>
                <w:szCs w:val="21"/>
              </w:rPr>
            </w:pPr>
            <w:r>
              <w:rPr>
                <w:rFonts w:hint="eastAsia"/>
                <w:color w:val="auto"/>
                <w:sz w:val="21"/>
                <w:szCs w:val="21"/>
              </w:rPr>
              <w:t>是否安装漏缆</w:t>
            </w:r>
          </w:p>
        </w:tc>
      </w:tr>
      <w:tr w14:paraId="43F67A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644" w:type="pct"/>
            <w:tcBorders>
              <w:top w:val="single" w:color="auto" w:sz="4" w:space="0"/>
              <w:left w:val="single" w:color="auto" w:sz="8" w:space="0"/>
              <w:bottom w:val="single" w:color="auto" w:sz="4" w:space="0"/>
              <w:right w:val="single" w:color="auto" w:sz="4" w:space="0"/>
            </w:tcBorders>
            <w:shd w:val="clear" w:color="auto" w:fill="FFFFFF"/>
            <w:tcMar>
              <w:top w:w="0" w:type="dxa"/>
              <w:left w:w="0" w:type="dxa"/>
              <w:right w:w="0" w:type="dxa"/>
            </w:tcMar>
            <w:vAlign w:val="center"/>
          </w:tcPr>
          <w:p w14:paraId="6F7B1EFB">
            <w:pPr>
              <w:snapToGrid w:val="0"/>
              <w:jc w:val="center"/>
              <w:rPr>
                <w:color w:val="auto"/>
                <w:sz w:val="21"/>
                <w:szCs w:val="21"/>
              </w:rPr>
            </w:pPr>
            <w:r>
              <w:rPr>
                <w:color w:val="auto"/>
                <w:sz w:val="21"/>
                <w:szCs w:val="21"/>
              </w:rPr>
              <w:t>1</w:t>
            </w:r>
          </w:p>
        </w:tc>
        <w:tc>
          <w:tcPr>
            <w:tcW w:w="138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61607C31">
            <w:pPr>
              <w:snapToGrid w:val="0"/>
              <w:jc w:val="center"/>
              <w:rPr>
                <w:color w:val="auto"/>
                <w:sz w:val="21"/>
                <w:szCs w:val="21"/>
              </w:rPr>
            </w:pPr>
            <w:r>
              <w:rPr>
                <w:rFonts w:hint="eastAsia" w:hAnsi="宋体" w:cs="宋体"/>
                <w:color w:val="auto"/>
                <w:sz w:val="21"/>
                <w:szCs w:val="21"/>
                <w:lang w:bidi="ar"/>
              </w:rPr>
              <w:t>陈家坊隧道</w:t>
            </w:r>
          </w:p>
        </w:tc>
        <w:tc>
          <w:tcPr>
            <w:tcW w:w="159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4D894B20">
            <w:pPr>
              <w:snapToGrid w:val="0"/>
              <w:jc w:val="center"/>
              <w:rPr>
                <w:color w:val="auto"/>
                <w:sz w:val="21"/>
                <w:szCs w:val="21"/>
              </w:rPr>
            </w:pPr>
            <w:r>
              <w:rPr>
                <w:rFonts w:hint="eastAsia" w:hAnsi="宋体" w:cs="宋体"/>
                <w:color w:val="auto"/>
                <w:sz w:val="21"/>
                <w:szCs w:val="21"/>
                <w:lang w:bidi="ar"/>
              </w:rPr>
              <w:t>164</w:t>
            </w:r>
          </w:p>
        </w:tc>
        <w:tc>
          <w:tcPr>
            <w:tcW w:w="1382" w:type="pct"/>
            <w:tcBorders>
              <w:top w:val="single" w:color="auto" w:sz="4" w:space="0"/>
              <w:left w:val="single" w:color="auto" w:sz="4" w:space="0"/>
              <w:bottom w:val="single" w:color="auto" w:sz="4" w:space="0"/>
              <w:right w:val="single" w:color="auto" w:sz="8" w:space="0"/>
            </w:tcBorders>
            <w:shd w:val="clear" w:color="auto" w:fill="FFFFFF"/>
            <w:tcMar>
              <w:top w:w="0" w:type="dxa"/>
              <w:left w:w="0" w:type="dxa"/>
              <w:right w:w="0" w:type="dxa"/>
            </w:tcMar>
            <w:vAlign w:val="center"/>
          </w:tcPr>
          <w:p w14:paraId="2713F6F9">
            <w:pPr>
              <w:snapToGrid w:val="0"/>
              <w:jc w:val="center"/>
              <w:rPr>
                <w:color w:val="auto"/>
                <w:sz w:val="21"/>
                <w:szCs w:val="21"/>
              </w:rPr>
            </w:pPr>
            <w:r>
              <w:rPr>
                <w:rFonts w:hint="eastAsia"/>
                <w:color w:val="auto"/>
                <w:sz w:val="21"/>
                <w:szCs w:val="21"/>
              </w:rPr>
              <w:t>是</w:t>
            </w:r>
          </w:p>
        </w:tc>
      </w:tr>
      <w:tr w14:paraId="6D3D6E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FFFFFF"/>
          <w:tblCellMar>
            <w:top w:w="0" w:type="dxa"/>
            <w:left w:w="0" w:type="dxa"/>
            <w:bottom w:w="0" w:type="dxa"/>
            <w:right w:w="0" w:type="dxa"/>
          </w:tblCellMar>
        </w:tblPrEx>
        <w:trPr>
          <w:trHeight w:val="425" w:hRule="atLeast"/>
          <w:jc w:val="center"/>
        </w:trPr>
        <w:tc>
          <w:tcPr>
            <w:tcW w:w="644" w:type="pct"/>
            <w:tcBorders>
              <w:top w:val="single" w:color="auto" w:sz="4" w:space="0"/>
              <w:left w:val="single" w:color="auto" w:sz="8" w:space="0"/>
              <w:bottom w:val="single" w:color="auto" w:sz="4" w:space="0"/>
              <w:right w:val="single" w:color="auto" w:sz="4" w:space="0"/>
            </w:tcBorders>
            <w:shd w:val="clear" w:color="auto" w:fill="FFFFFF"/>
            <w:tcMar>
              <w:top w:w="0" w:type="dxa"/>
              <w:left w:w="0" w:type="dxa"/>
              <w:right w:w="0" w:type="dxa"/>
            </w:tcMar>
            <w:vAlign w:val="center"/>
          </w:tcPr>
          <w:p w14:paraId="61D7F44D">
            <w:pPr>
              <w:snapToGrid w:val="0"/>
              <w:jc w:val="center"/>
              <w:rPr>
                <w:color w:val="auto"/>
                <w:sz w:val="21"/>
                <w:szCs w:val="21"/>
              </w:rPr>
            </w:pPr>
            <w:r>
              <w:rPr>
                <w:color w:val="auto"/>
                <w:sz w:val="21"/>
                <w:szCs w:val="21"/>
              </w:rPr>
              <w:t>2</w:t>
            </w:r>
          </w:p>
        </w:tc>
        <w:tc>
          <w:tcPr>
            <w:tcW w:w="138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34C40C02">
            <w:pPr>
              <w:snapToGrid w:val="0"/>
              <w:jc w:val="center"/>
              <w:rPr>
                <w:color w:val="auto"/>
                <w:sz w:val="21"/>
                <w:szCs w:val="21"/>
              </w:rPr>
            </w:pPr>
            <w:r>
              <w:rPr>
                <w:rFonts w:hint="eastAsia" w:hAnsi="宋体" w:cs="宋体"/>
                <w:color w:val="auto"/>
                <w:sz w:val="21"/>
                <w:szCs w:val="21"/>
                <w:lang w:bidi="ar"/>
              </w:rPr>
              <w:t>张家场隧道</w:t>
            </w:r>
          </w:p>
        </w:tc>
        <w:tc>
          <w:tcPr>
            <w:tcW w:w="159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600D80FE">
            <w:pPr>
              <w:snapToGrid w:val="0"/>
              <w:jc w:val="center"/>
              <w:rPr>
                <w:color w:val="auto"/>
                <w:sz w:val="21"/>
                <w:szCs w:val="21"/>
              </w:rPr>
            </w:pPr>
            <w:r>
              <w:rPr>
                <w:rFonts w:hint="eastAsia" w:hAnsi="宋体" w:cs="宋体"/>
                <w:color w:val="auto"/>
                <w:sz w:val="21"/>
                <w:szCs w:val="21"/>
                <w:lang w:bidi="ar"/>
              </w:rPr>
              <w:t>2741</w:t>
            </w:r>
          </w:p>
        </w:tc>
        <w:tc>
          <w:tcPr>
            <w:tcW w:w="1382" w:type="pct"/>
            <w:tcBorders>
              <w:top w:val="single" w:color="auto" w:sz="4" w:space="0"/>
              <w:left w:val="single" w:color="auto" w:sz="4" w:space="0"/>
              <w:bottom w:val="single" w:color="auto" w:sz="4" w:space="0"/>
              <w:right w:val="single" w:color="auto" w:sz="8" w:space="0"/>
            </w:tcBorders>
            <w:shd w:val="clear" w:color="auto" w:fill="FFFFFF"/>
            <w:tcMar>
              <w:top w:w="0" w:type="dxa"/>
              <w:left w:w="0" w:type="dxa"/>
              <w:right w:w="0" w:type="dxa"/>
            </w:tcMar>
            <w:vAlign w:val="center"/>
          </w:tcPr>
          <w:p w14:paraId="011A6911">
            <w:pPr>
              <w:snapToGrid w:val="0"/>
              <w:jc w:val="center"/>
              <w:rPr>
                <w:color w:val="auto"/>
                <w:sz w:val="21"/>
                <w:szCs w:val="21"/>
              </w:rPr>
            </w:pPr>
            <w:r>
              <w:rPr>
                <w:rFonts w:hint="eastAsia"/>
                <w:color w:val="auto"/>
                <w:sz w:val="21"/>
                <w:szCs w:val="21"/>
              </w:rPr>
              <w:t>是</w:t>
            </w:r>
          </w:p>
        </w:tc>
      </w:tr>
      <w:tr w14:paraId="3EC202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644" w:type="pct"/>
            <w:tcBorders>
              <w:top w:val="single" w:color="auto" w:sz="4" w:space="0"/>
              <w:left w:val="single" w:color="auto" w:sz="8" w:space="0"/>
              <w:bottom w:val="single" w:color="auto" w:sz="4" w:space="0"/>
              <w:right w:val="single" w:color="auto" w:sz="4" w:space="0"/>
            </w:tcBorders>
            <w:shd w:val="clear" w:color="auto" w:fill="FFFFFF"/>
            <w:tcMar>
              <w:top w:w="0" w:type="dxa"/>
              <w:left w:w="0" w:type="dxa"/>
              <w:right w:w="0" w:type="dxa"/>
            </w:tcMar>
            <w:vAlign w:val="center"/>
          </w:tcPr>
          <w:p w14:paraId="68B27C2C">
            <w:pPr>
              <w:snapToGrid w:val="0"/>
              <w:jc w:val="center"/>
              <w:rPr>
                <w:color w:val="auto"/>
                <w:sz w:val="21"/>
                <w:szCs w:val="21"/>
              </w:rPr>
            </w:pPr>
            <w:r>
              <w:rPr>
                <w:color w:val="auto"/>
                <w:sz w:val="21"/>
                <w:szCs w:val="21"/>
              </w:rPr>
              <w:t>3</w:t>
            </w:r>
          </w:p>
        </w:tc>
        <w:tc>
          <w:tcPr>
            <w:tcW w:w="138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22529EF2">
            <w:pPr>
              <w:snapToGrid w:val="0"/>
              <w:jc w:val="center"/>
              <w:rPr>
                <w:color w:val="auto"/>
                <w:sz w:val="21"/>
                <w:szCs w:val="21"/>
              </w:rPr>
            </w:pPr>
            <w:r>
              <w:rPr>
                <w:rFonts w:hint="eastAsia" w:hAnsi="宋体" w:cs="宋体"/>
                <w:color w:val="auto"/>
                <w:sz w:val="21"/>
                <w:szCs w:val="21"/>
                <w:lang w:bidi="ar"/>
              </w:rPr>
              <w:t>彭家坡隧道</w:t>
            </w:r>
          </w:p>
        </w:tc>
        <w:tc>
          <w:tcPr>
            <w:tcW w:w="159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56A86029">
            <w:pPr>
              <w:snapToGrid w:val="0"/>
              <w:jc w:val="center"/>
              <w:rPr>
                <w:color w:val="auto"/>
                <w:sz w:val="21"/>
                <w:szCs w:val="21"/>
              </w:rPr>
            </w:pPr>
            <w:r>
              <w:rPr>
                <w:rFonts w:hint="eastAsia" w:hAnsi="宋体" w:cs="宋体"/>
                <w:color w:val="auto"/>
                <w:sz w:val="21"/>
                <w:szCs w:val="21"/>
                <w:lang w:bidi="ar"/>
              </w:rPr>
              <w:t>3674</w:t>
            </w:r>
          </w:p>
        </w:tc>
        <w:tc>
          <w:tcPr>
            <w:tcW w:w="1382" w:type="pct"/>
            <w:tcBorders>
              <w:top w:val="single" w:color="auto" w:sz="4" w:space="0"/>
              <w:left w:val="single" w:color="auto" w:sz="4" w:space="0"/>
              <w:bottom w:val="single" w:color="auto" w:sz="4" w:space="0"/>
              <w:right w:val="single" w:color="auto" w:sz="8" w:space="0"/>
            </w:tcBorders>
            <w:shd w:val="clear" w:color="auto" w:fill="FFFFFF"/>
            <w:tcMar>
              <w:top w:w="0" w:type="dxa"/>
              <w:left w:w="0" w:type="dxa"/>
              <w:right w:w="0" w:type="dxa"/>
            </w:tcMar>
            <w:vAlign w:val="center"/>
          </w:tcPr>
          <w:p w14:paraId="147DF238">
            <w:pPr>
              <w:snapToGrid w:val="0"/>
              <w:jc w:val="center"/>
              <w:rPr>
                <w:color w:val="auto"/>
                <w:sz w:val="21"/>
                <w:szCs w:val="21"/>
              </w:rPr>
            </w:pPr>
            <w:r>
              <w:rPr>
                <w:rFonts w:hint="eastAsia"/>
                <w:color w:val="auto"/>
                <w:sz w:val="21"/>
                <w:szCs w:val="21"/>
              </w:rPr>
              <w:t>是</w:t>
            </w:r>
          </w:p>
        </w:tc>
      </w:tr>
      <w:tr w14:paraId="79D5B0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644" w:type="pct"/>
            <w:tcBorders>
              <w:top w:val="single" w:color="auto" w:sz="4" w:space="0"/>
              <w:left w:val="single" w:color="auto" w:sz="8" w:space="0"/>
              <w:bottom w:val="single" w:color="auto" w:sz="4" w:space="0"/>
              <w:right w:val="single" w:color="auto" w:sz="4" w:space="0"/>
            </w:tcBorders>
            <w:shd w:val="clear" w:color="auto" w:fill="FFFFFF"/>
            <w:tcMar>
              <w:top w:w="0" w:type="dxa"/>
              <w:left w:w="0" w:type="dxa"/>
              <w:right w:w="0" w:type="dxa"/>
            </w:tcMar>
            <w:vAlign w:val="center"/>
          </w:tcPr>
          <w:p w14:paraId="33E0C60F">
            <w:pPr>
              <w:snapToGrid w:val="0"/>
              <w:jc w:val="center"/>
              <w:rPr>
                <w:color w:val="auto"/>
                <w:sz w:val="21"/>
                <w:szCs w:val="21"/>
              </w:rPr>
            </w:pPr>
            <w:r>
              <w:rPr>
                <w:color w:val="auto"/>
                <w:sz w:val="21"/>
                <w:szCs w:val="21"/>
              </w:rPr>
              <w:t>4</w:t>
            </w:r>
          </w:p>
        </w:tc>
        <w:tc>
          <w:tcPr>
            <w:tcW w:w="138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511AE9FE">
            <w:pPr>
              <w:snapToGrid w:val="0"/>
              <w:jc w:val="center"/>
              <w:rPr>
                <w:color w:val="auto"/>
                <w:sz w:val="21"/>
                <w:szCs w:val="21"/>
              </w:rPr>
            </w:pPr>
            <w:r>
              <w:rPr>
                <w:rFonts w:hint="eastAsia" w:hAnsi="宋体" w:cs="宋体"/>
                <w:color w:val="auto"/>
                <w:sz w:val="21"/>
                <w:szCs w:val="21"/>
                <w:lang w:bidi="ar"/>
              </w:rPr>
              <w:t>陈家坪隧道</w:t>
            </w:r>
          </w:p>
        </w:tc>
        <w:tc>
          <w:tcPr>
            <w:tcW w:w="159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108F8620">
            <w:pPr>
              <w:snapToGrid w:val="0"/>
              <w:jc w:val="center"/>
              <w:rPr>
                <w:color w:val="auto"/>
                <w:sz w:val="21"/>
                <w:szCs w:val="21"/>
              </w:rPr>
            </w:pPr>
            <w:r>
              <w:rPr>
                <w:rFonts w:hint="eastAsia" w:hAnsi="宋体" w:cs="宋体"/>
                <w:color w:val="auto"/>
                <w:sz w:val="21"/>
                <w:szCs w:val="21"/>
                <w:lang w:bidi="ar"/>
              </w:rPr>
              <w:t>883.65</w:t>
            </w:r>
          </w:p>
        </w:tc>
        <w:tc>
          <w:tcPr>
            <w:tcW w:w="1382" w:type="pct"/>
            <w:tcBorders>
              <w:top w:val="single" w:color="auto" w:sz="4" w:space="0"/>
              <w:left w:val="single" w:color="auto" w:sz="4" w:space="0"/>
              <w:bottom w:val="single" w:color="auto" w:sz="4" w:space="0"/>
              <w:right w:val="single" w:color="auto" w:sz="8" w:space="0"/>
            </w:tcBorders>
            <w:shd w:val="clear" w:color="auto" w:fill="FFFFFF"/>
            <w:tcMar>
              <w:top w:w="0" w:type="dxa"/>
              <w:left w:w="0" w:type="dxa"/>
              <w:right w:w="0" w:type="dxa"/>
            </w:tcMar>
            <w:vAlign w:val="center"/>
          </w:tcPr>
          <w:p w14:paraId="6D192CB9">
            <w:pPr>
              <w:snapToGrid w:val="0"/>
              <w:jc w:val="center"/>
              <w:rPr>
                <w:color w:val="auto"/>
                <w:sz w:val="21"/>
                <w:szCs w:val="21"/>
              </w:rPr>
            </w:pPr>
            <w:r>
              <w:rPr>
                <w:rFonts w:hint="eastAsia"/>
                <w:color w:val="auto"/>
                <w:sz w:val="21"/>
                <w:szCs w:val="21"/>
              </w:rPr>
              <w:t>是</w:t>
            </w:r>
          </w:p>
        </w:tc>
      </w:tr>
      <w:tr w14:paraId="10F4F6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644" w:type="pct"/>
            <w:tcBorders>
              <w:top w:val="single" w:color="auto" w:sz="4" w:space="0"/>
              <w:left w:val="single" w:color="auto" w:sz="8" w:space="0"/>
              <w:bottom w:val="single" w:color="auto" w:sz="4" w:space="0"/>
              <w:right w:val="single" w:color="auto" w:sz="4" w:space="0"/>
            </w:tcBorders>
            <w:shd w:val="clear" w:color="auto" w:fill="FFFFFF"/>
            <w:tcMar>
              <w:top w:w="0" w:type="dxa"/>
              <w:left w:w="0" w:type="dxa"/>
              <w:right w:w="0" w:type="dxa"/>
            </w:tcMar>
            <w:vAlign w:val="center"/>
          </w:tcPr>
          <w:p w14:paraId="15EB16EA">
            <w:pPr>
              <w:snapToGrid w:val="0"/>
              <w:jc w:val="center"/>
              <w:rPr>
                <w:color w:val="auto"/>
                <w:sz w:val="21"/>
                <w:szCs w:val="21"/>
              </w:rPr>
            </w:pPr>
            <w:r>
              <w:rPr>
                <w:color w:val="auto"/>
                <w:sz w:val="21"/>
                <w:szCs w:val="21"/>
              </w:rPr>
              <w:t>5</w:t>
            </w:r>
          </w:p>
        </w:tc>
        <w:tc>
          <w:tcPr>
            <w:tcW w:w="138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76DABC09">
            <w:pPr>
              <w:snapToGrid w:val="0"/>
              <w:jc w:val="center"/>
              <w:rPr>
                <w:color w:val="auto"/>
                <w:sz w:val="21"/>
                <w:szCs w:val="21"/>
              </w:rPr>
            </w:pPr>
            <w:r>
              <w:rPr>
                <w:rFonts w:hint="eastAsia" w:hAnsi="宋体" w:cs="宋体"/>
                <w:color w:val="auto"/>
                <w:sz w:val="21"/>
                <w:szCs w:val="21"/>
                <w:lang w:bidi="ar"/>
              </w:rPr>
              <w:t>十里坪隧道</w:t>
            </w:r>
          </w:p>
        </w:tc>
        <w:tc>
          <w:tcPr>
            <w:tcW w:w="159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406CABD7">
            <w:pPr>
              <w:snapToGrid w:val="0"/>
              <w:jc w:val="center"/>
              <w:rPr>
                <w:color w:val="auto"/>
                <w:sz w:val="21"/>
                <w:szCs w:val="21"/>
              </w:rPr>
            </w:pPr>
            <w:r>
              <w:rPr>
                <w:rFonts w:hint="eastAsia" w:hAnsi="宋体" w:cs="宋体"/>
                <w:color w:val="auto"/>
                <w:sz w:val="21"/>
                <w:szCs w:val="21"/>
                <w:lang w:bidi="ar"/>
              </w:rPr>
              <w:t>475.1</w:t>
            </w:r>
          </w:p>
        </w:tc>
        <w:tc>
          <w:tcPr>
            <w:tcW w:w="1382" w:type="pct"/>
            <w:tcBorders>
              <w:top w:val="single" w:color="auto" w:sz="4" w:space="0"/>
              <w:left w:val="single" w:color="auto" w:sz="4" w:space="0"/>
              <w:bottom w:val="single" w:color="auto" w:sz="4" w:space="0"/>
              <w:right w:val="single" w:color="auto" w:sz="8" w:space="0"/>
            </w:tcBorders>
            <w:shd w:val="clear" w:color="auto" w:fill="FFFFFF"/>
            <w:tcMar>
              <w:top w:w="0" w:type="dxa"/>
              <w:left w:w="0" w:type="dxa"/>
              <w:right w:w="0" w:type="dxa"/>
            </w:tcMar>
            <w:vAlign w:val="center"/>
          </w:tcPr>
          <w:p w14:paraId="240939A3">
            <w:pPr>
              <w:snapToGrid w:val="0"/>
              <w:jc w:val="center"/>
              <w:rPr>
                <w:color w:val="auto"/>
                <w:sz w:val="21"/>
                <w:szCs w:val="21"/>
              </w:rPr>
            </w:pPr>
            <w:r>
              <w:rPr>
                <w:rFonts w:hint="eastAsia"/>
                <w:color w:val="auto"/>
                <w:sz w:val="21"/>
                <w:szCs w:val="21"/>
              </w:rPr>
              <w:t>是</w:t>
            </w:r>
          </w:p>
        </w:tc>
      </w:tr>
      <w:tr w14:paraId="339E81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644" w:type="pct"/>
            <w:tcBorders>
              <w:top w:val="single" w:color="auto" w:sz="4" w:space="0"/>
              <w:left w:val="single" w:color="auto" w:sz="8" w:space="0"/>
              <w:bottom w:val="single" w:color="auto" w:sz="4" w:space="0"/>
              <w:right w:val="single" w:color="auto" w:sz="4" w:space="0"/>
            </w:tcBorders>
            <w:shd w:val="clear" w:color="auto" w:fill="FFFFFF"/>
            <w:tcMar>
              <w:top w:w="0" w:type="dxa"/>
              <w:left w:w="0" w:type="dxa"/>
              <w:right w:w="0" w:type="dxa"/>
            </w:tcMar>
            <w:vAlign w:val="center"/>
          </w:tcPr>
          <w:p w14:paraId="20A4A033">
            <w:pPr>
              <w:snapToGrid w:val="0"/>
              <w:jc w:val="center"/>
              <w:rPr>
                <w:color w:val="auto"/>
                <w:sz w:val="21"/>
                <w:szCs w:val="21"/>
              </w:rPr>
            </w:pPr>
            <w:r>
              <w:rPr>
                <w:color w:val="auto"/>
                <w:sz w:val="21"/>
                <w:szCs w:val="21"/>
              </w:rPr>
              <w:t>6</w:t>
            </w:r>
          </w:p>
        </w:tc>
        <w:tc>
          <w:tcPr>
            <w:tcW w:w="138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66A297D8">
            <w:pPr>
              <w:snapToGrid w:val="0"/>
              <w:jc w:val="center"/>
              <w:rPr>
                <w:color w:val="auto"/>
                <w:sz w:val="21"/>
                <w:szCs w:val="21"/>
              </w:rPr>
            </w:pPr>
            <w:r>
              <w:rPr>
                <w:rFonts w:hint="eastAsia" w:hAnsi="宋体" w:cs="宋体"/>
                <w:color w:val="auto"/>
                <w:sz w:val="21"/>
                <w:szCs w:val="21"/>
                <w:lang w:bidi="ar"/>
              </w:rPr>
              <w:t>桂花岭隧道</w:t>
            </w:r>
          </w:p>
        </w:tc>
        <w:tc>
          <w:tcPr>
            <w:tcW w:w="159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06A83913">
            <w:pPr>
              <w:snapToGrid w:val="0"/>
              <w:jc w:val="center"/>
              <w:rPr>
                <w:color w:val="auto"/>
                <w:sz w:val="21"/>
                <w:szCs w:val="21"/>
              </w:rPr>
            </w:pPr>
            <w:r>
              <w:rPr>
                <w:rFonts w:hint="eastAsia" w:hAnsi="宋体" w:cs="宋体"/>
                <w:color w:val="auto"/>
                <w:sz w:val="21"/>
                <w:szCs w:val="21"/>
                <w:lang w:bidi="ar"/>
              </w:rPr>
              <w:t>4575.06</w:t>
            </w:r>
          </w:p>
        </w:tc>
        <w:tc>
          <w:tcPr>
            <w:tcW w:w="1382" w:type="pct"/>
            <w:tcBorders>
              <w:top w:val="single" w:color="auto" w:sz="4" w:space="0"/>
              <w:left w:val="single" w:color="auto" w:sz="4" w:space="0"/>
              <w:bottom w:val="single" w:color="auto" w:sz="4" w:space="0"/>
              <w:right w:val="single" w:color="auto" w:sz="8" w:space="0"/>
            </w:tcBorders>
            <w:shd w:val="clear" w:color="auto" w:fill="FFFFFF"/>
            <w:tcMar>
              <w:top w:w="0" w:type="dxa"/>
              <w:left w:w="0" w:type="dxa"/>
              <w:right w:w="0" w:type="dxa"/>
            </w:tcMar>
            <w:vAlign w:val="center"/>
          </w:tcPr>
          <w:p w14:paraId="7EA24E30">
            <w:pPr>
              <w:snapToGrid w:val="0"/>
              <w:jc w:val="center"/>
              <w:rPr>
                <w:color w:val="auto"/>
                <w:sz w:val="21"/>
                <w:szCs w:val="21"/>
              </w:rPr>
            </w:pPr>
            <w:r>
              <w:rPr>
                <w:rFonts w:hint="eastAsia"/>
                <w:color w:val="auto"/>
                <w:sz w:val="21"/>
                <w:szCs w:val="21"/>
              </w:rPr>
              <w:t>是</w:t>
            </w:r>
          </w:p>
        </w:tc>
      </w:tr>
      <w:tr w14:paraId="5FAC6C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FFFFFF"/>
          <w:tblCellMar>
            <w:top w:w="0" w:type="dxa"/>
            <w:left w:w="0" w:type="dxa"/>
            <w:bottom w:w="0" w:type="dxa"/>
            <w:right w:w="0" w:type="dxa"/>
          </w:tblCellMar>
        </w:tblPrEx>
        <w:trPr>
          <w:trHeight w:val="425" w:hRule="atLeast"/>
          <w:jc w:val="center"/>
        </w:trPr>
        <w:tc>
          <w:tcPr>
            <w:tcW w:w="644" w:type="pct"/>
            <w:tcBorders>
              <w:top w:val="single" w:color="auto" w:sz="4" w:space="0"/>
              <w:left w:val="single" w:color="auto" w:sz="8" w:space="0"/>
              <w:bottom w:val="single" w:color="auto" w:sz="4" w:space="0"/>
              <w:right w:val="single" w:color="auto" w:sz="4" w:space="0"/>
            </w:tcBorders>
            <w:shd w:val="clear" w:color="auto" w:fill="FFFFFF"/>
            <w:tcMar>
              <w:top w:w="0" w:type="dxa"/>
              <w:left w:w="0" w:type="dxa"/>
              <w:right w:w="0" w:type="dxa"/>
            </w:tcMar>
            <w:vAlign w:val="center"/>
          </w:tcPr>
          <w:p w14:paraId="62E63A69">
            <w:pPr>
              <w:snapToGrid w:val="0"/>
              <w:jc w:val="center"/>
              <w:rPr>
                <w:color w:val="auto"/>
                <w:sz w:val="21"/>
                <w:szCs w:val="21"/>
              </w:rPr>
            </w:pPr>
            <w:r>
              <w:rPr>
                <w:color w:val="auto"/>
                <w:sz w:val="21"/>
                <w:szCs w:val="21"/>
              </w:rPr>
              <w:t>7</w:t>
            </w:r>
          </w:p>
        </w:tc>
        <w:tc>
          <w:tcPr>
            <w:tcW w:w="138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355BBD0A">
            <w:pPr>
              <w:snapToGrid w:val="0"/>
              <w:jc w:val="center"/>
              <w:rPr>
                <w:color w:val="auto"/>
                <w:sz w:val="21"/>
                <w:szCs w:val="21"/>
              </w:rPr>
            </w:pPr>
            <w:r>
              <w:rPr>
                <w:rFonts w:hint="eastAsia" w:hAnsi="宋体" w:cs="宋体"/>
                <w:color w:val="auto"/>
                <w:sz w:val="21"/>
                <w:szCs w:val="21"/>
                <w:lang w:bidi="ar"/>
              </w:rPr>
              <w:t>杨木岭隧道</w:t>
            </w:r>
          </w:p>
        </w:tc>
        <w:tc>
          <w:tcPr>
            <w:tcW w:w="159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1B6FFBE1">
            <w:pPr>
              <w:snapToGrid w:val="0"/>
              <w:jc w:val="center"/>
              <w:rPr>
                <w:color w:val="auto"/>
                <w:sz w:val="21"/>
                <w:szCs w:val="21"/>
              </w:rPr>
            </w:pPr>
            <w:r>
              <w:rPr>
                <w:rFonts w:hint="eastAsia" w:hAnsi="宋体" w:cs="宋体"/>
                <w:color w:val="auto"/>
                <w:sz w:val="21"/>
                <w:szCs w:val="21"/>
                <w:lang w:bidi="ar"/>
              </w:rPr>
              <w:t>3640.3</w:t>
            </w:r>
          </w:p>
        </w:tc>
        <w:tc>
          <w:tcPr>
            <w:tcW w:w="1382" w:type="pct"/>
            <w:tcBorders>
              <w:top w:val="single" w:color="auto" w:sz="4" w:space="0"/>
              <w:left w:val="single" w:color="auto" w:sz="4" w:space="0"/>
              <w:bottom w:val="single" w:color="auto" w:sz="4" w:space="0"/>
              <w:right w:val="single" w:color="auto" w:sz="8" w:space="0"/>
            </w:tcBorders>
            <w:shd w:val="clear" w:color="auto" w:fill="FFFFFF"/>
            <w:tcMar>
              <w:top w:w="0" w:type="dxa"/>
              <w:left w:w="0" w:type="dxa"/>
              <w:right w:w="0" w:type="dxa"/>
            </w:tcMar>
            <w:vAlign w:val="center"/>
          </w:tcPr>
          <w:p w14:paraId="321EB903">
            <w:pPr>
              <w:snapToGrid w:val="0"/>
              <w:jc w:val="center"/>
              <w:rPr>
                <w:color w:val="auto"/>
                <w:sz w:val="21"/>
                <w:szCs w:val="21"/>
              </w:rPr>
            </w:pPr>
            <w:r>
              <w:rPr>
                <w:rFonts w:hint="eastAsia"/>
                <w:color w:val="auto"/>
                <w:sz w:val="21"/>
                <w:szCs w:val="21"/>
              </w:rPr>
              <w:t>是</w:t>
            </w:r>
          </w:p>
        </w:tc>
      </w:tr>
      <w:tr w14:paraId="6946B0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FFFFFF"/>
          <w:tblCellMar>
            <w:top w:w="0" w:type="dxa"/>
            <w:left w:w="0" w:type="dxa"/>
            <w:bottom w:w="0" w:type="dxa"/>
            <w:right w:w="0" w:type="dxa"/>
          </w:tblCellMar>
        </w:tblPrEx>
        <w:trPr>
          <w:trHeight w:val="425" w:hRule="atLeast"/>
          <w:jc w:val="center"/>
        </w:trPr>
        <w:tc>
          <w:tcPr>
            <w:tcW w:w="644" w:type="pct"/>
            <w:tcBorders>
              <w:top w:val="single" w:color="auto" w:sz="4" w:space="0"/>
              <w:left w:val="single" w:color="auto" w:sz="8" w:space="0"/>
              <w:bottom w:val="single" w:color="auto" w:sz="4" w:space="0"/>
              <w:right w:val="single" w:color="auto" w:sz="4" w:space="0"/>
            </w:tcBorders>
            <w:shd w:val="clear" w:color="auto" w:fill="FFFFFF"/>
            <w:tcMar>
              <w:top w:w="0" w:type="dxa"/>
              <w:left w:w="0" w:type="dxa"/>
              <w:right w:w="0" w:type="dxa"/>
            </w:tcMar>
            <w:vAlign w:val="center"/>
          </w:tcPr>
          <w:p w14:paraId="74CB3E1E">
            <w:pPr>
              <w:snapToGrid w:val="0"/>
              <w:jc w:val="center"/>
              <w:rPr>
                <w:color w:val="auto"/>
                <w:sz w:val="21"/>
                <w:szCs w:val="21"/>
              </w:rPr>
            </w:pPr>
            <w:r>
              <w:rPr>
                <w:color w:val="auto"/>
                <w:sz w:val="21"/>
                <w:szCs w:val="21"/>
              </w:rPr>
              <w:t>8</w:t>
            </w:r>
          </w:p>
        </w:tc>
        <w:tc>
          <w:tcPr>
            <w:tcW w:w="138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341AFA03">
            <w:pPr>
              <w:snapToGrid w:val="0"/>
              <w:jc w:val="center"/>
              <w:rPr>
                <w:color w:val="auto"/>
                <w:sz w:val="21"/>
                <w:szCs w:val="21"/>
              </w:rPr>
            </w:pPr>
            <w:r>
              <w:rPr>
                <w:rFonts w:hint="eastAsia" w:hAnsi="宋体" w:cs="宋体"/>
                <w:color w:val="auto"/>
                <w:sz w:val="21"/>
                <w:szCs w:val="21"/>
                <w:lang w:bidi="ar"/>
              </w:rPr>
              <w:t>张家屋隧道</w:t>
            </w:r>
          </w:p>
        </w:tc>
        <w:tc>
          <w:tcPr>
            <w:tcW w:w="159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09F61B56">
            <w:pPr>
              <w:snapToGrid w:val="0"/>
              <w:jc w:val="center"/>
              <w:rPr>
                <w:color w:val="auto"/>
                <w:sz w:val="21"/>
                <w:szCs w:val="21"/>
              </w:rPr>
            </w:pPr>
            <w:r>
              <w:rPr>
                <w:rFonts w:hint="eastAsia" w:hAnsi="宋体" w:cs="宋体"/>
                <w:color w:val="auto"/>
                <w:sz w:val="21"/>
                <w:szCs w:val="21"/>
                <w:lang w:bidi="ar"/>
              </w:rPr>
              <w:t>232.81</w:t>
            </w:r>
          </w:p>
        </w:tc>
        <w:tc>
          <w:tcPr>
            <w:tcW w:w="1382" w:type="pct"/>
            <w:tcBorders>
              <w:top w:val="single" w:color="auto" w:sz="4" w:space="0"/>
              <w:left w:val="single" w:color="auto" w:sz="4" w:space="0"/>
              <w:bottom w:val="single" w:color="auto" w:sz="4" w:space="0"/>
              <w:right w:val="single" w:color="auto" w:sz="8" w:space="0"/>
            </w:tcBorders>
            <w:shd w:val="clear" w:color="auto" w:fill="FFFFFF"/>
            <w:tcMar>
              <w:top w:w="0" w:type="dxa"/>
              <w:left w:w="0" w:type="dxa"/>
              <w:right w:w="0" w:type="dxa"/>
            </w:tcMar>
            <w:vAlign w:val="center"/>
          </w:tcPr>
          <w:p w14:paraId="41836857">
            <w:pPr>
              <w:snapToGrid w:val="0"/>
              <w:jc w:val="center"/>
              <w:rPr>
                <w:color w:val="auto"/>
                <w:sz w:val="21"/>
                <w:szCs w:val="21"/>
              </w:rPr>
            </w:pPr>
            <w:r>
              <w:rPr>
                <w:rFonts w:hint="eastAsia"/>
                <w:color w:val="auto"/>
                <w:sz w:val="21"/>
                <w:szCs w:val="21"/>
              </w:rPr>
              <w:t>是</w:t>
            </w:r>
          </w:p>
        </w:tc>
      </w:tr>
      <w:tr w14:paraId="20BBBC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644" w:type="pct"/>
            <w:tcBorders>
              <w:top w:val="single" w:color="auto" w:sz="4" w:space="0"/>
              <w:left w:val="single" w:color="auto" w:sz="8" w:space="0"/>
              <w:bottom w:val="single" w:color="auto" w:sz="4" w:space="0"/>
              <w:right w:val="single" w:color="auto" w:sz="4" w:space="0"/>
            </w:tcBorders>
            <w:shd w:val="clear" w:color="auto" w:fill="FFFFFF"/>
            <w:tcMar>
              <w:top w:w="0" w:type="dxa"/>
              <w:left w:w="0" w:type="dxa"/>
              <w:right w:w="0" w:type="dxa"/>
            </w:tcMar>
            <w:vAlign w:val="center"/>
          </w:tcPr>
          <w:p w14:paraId="5800BC84">
            <w:pPr>
              <w:snapToGrid w:val="0"/>
              <w:jc w:val="center"/>
              <w:rPr>
                <w:color w:val="auto"/>
                <w:sz w:val="21"/>
                <w:szCs w:val="21"/>
              </w:rPr>
            </w:pPr>
            <w:r>
              <w:rPr>
                <w:color w:val="auto"/>
                <w:sz w:val="21"/>
                <w:szCs w:val="21"/>
              </w:rPr>
              <w:t>9</w:t>
            </w:r>
          </w:p>
        </w:tc>
        <w:tc>
          <w:tcPr>
            <w:tcW w:w="138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2F4CEF4B">
            <w:pPr>
              <w:snapToGrid w:val="0"/>
              <w:jc w:val="center"/>
              <w:rPr>
                <w:color w:val="auto"/>
                <w:sz w:val="21"/>
                <w:szCs w:val="21"/>
              </w:rPr>
            </w:pPr>
            <w:r>
              <w:rPr>
                <w:rFonts w:hint="eastAsia" w:hAnsi="宋体" w:cs="宋体"/>
                <w:color w:val="auto"/>
                <w:sz w:val="21"/>
                <w:szCs w:val="21"/>
                <w:lang w:bidi="ar"/>
              </w:rPr>
              <w:t>田家坪隧道</w:t>
            </w:r>
          </w:p>
        </w:tc>
        <w:tc>
          <w:tcPr>
            <w:tcW w:w="159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3584D3D5">
            <w:pPr>
              <w:snapToGrid w:val="0"/>
              <w:jc w:val="center"/>
              <w:rPr>
                <w:color w:val="auto"/>
                <w:sz w:val="21"/>
                <w:szCs w:val="21"/>
              </w:rPr>
            </w:pPr>
            <w:r>
              <w:rPr>
                <w:rFonts w:hint="eastAsia" w:hAnsi="宋体" w:cs="宋体"/>
                <w:color w:val="auto"/>
                <w:sz w:val="21"/>
                <w:szCs w:val="21"/>
                <w:lang w:bidi="ar"/>
              </w:rPr>
              <w:t>3338.87</w:t>
            </w:r>
          </w:p>
        </w:tc>
        <w:tc>
          <w:tcPr>
            <w:tcW w:w="1382" w:type="pct"/>
            <w:tcBorders>
              <w:top w:val="single" w:color="auto" w:sz="4" w:space="0"/>
              <w:left w:val="single" w:color="auto" w:sz="4" w:space="0"/>
              <w:bottom w:val="single" w:color="auto" w:sz="4" w:space="0"/>
              <w:right w:val="single" w:color="auto" w:sz="8" w:space="0"/>
            </w:tcBorders>
            <w:shd w:val="clear" w:color="auto" w:fill="FFFFFF"/>
            <w:tcMar>
              <w:top w:w="0" w:type="dxa"/>
              <w:left w:w="0" w:type="dxa"/>
              <w:right w:w="0" w:type="dxa"/>
            </w:tcMar>
            <w:vAlign w:val="center"/>
          </w:tcPr>
          <w:p w14:paraId="43BF6613">
            <w:pPr>
              <w:snapToGrid w:val="0"/>
              <w:jc w:val="center"/>
              <w:rPr>
                <w:color w:val="auto"/>
                <w:sz w:val="21"/>
                <w:szCs w:val="21"/>
              </w:rPr>
            </w:pPr>
            <w:r>
              <w:rPr>
                <w:rFonts w:hint="eastAsia"/>
                <w:color w:val="auto"/>
                <w:sz w:val="21"/>
                <w:szCs w:val="21"/>
              </w:rPr>
              <w:t>是</w:t>
            </w:r>
          </w:p>
        </w:tc>
      </w:tr>
      <w:tr w14:paraId="3DE76C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FFFFFF"/>
          <w:tblCellMar>
            <w:top w:w="0" w:type="dxa"/>
            <w:left w:w="0" w:type="dxa"/>
            <w:bottom w:w="0" w:type="dxa"/>
            <w:right w:w="0" w:type="dxa"/>
          </w:tblCellMar>
        </w:tblPrEx>
        <w:trPr>
          <w:trHeight w:val="425" w:hRule="atLeast"/>
          <w:jc w:val="center"/>
        </w:trPr>
        <w:tc>
          <w:tcPr>
            <w:tcW w:w="644" w:type="pct"/>
            <w:tcBorders>
              <w:top w:val="single" w:color="auto" w:sz="4" w:space="0"/>
              <w:left w:val="single" w:color="auto" w:sz="8" w:space="0"/>
              <w:bottom w:val="single" w:color="auto" w:sz="4" w:space="0"/>
              <w:right w:val="single" w:color="auto" w:sz="4" w:space="0"/>
            </w:tcBorders>
            <w:shd w:val="clear" w:color="auto" w:fill="FFFFFF"/>
            <w:tcMar>
              <w:top w:w="0" w:type="dxa"/>
              <w:left w:w="0" w:type="dxa"/>
              <w:right w:w="0" w:type="dxa"/>
            </w:tcMar>
            <w:vAlign w:val="center"/>
          </w:tcPr>
          <w:p w14:paraId="5D3FF1CF">
            <w:pPr>
              <w:snapToGrid w:val="0"/>
              <w:jc w:val="center"/>
              <w:rPr>
                <w:color w:val="auto"/>
                <w:sz w:val="21"/>
                <w:szCs w:val="21"/>
              </w:rPr>
            </w:pPr>
            <w:r>
              <w:rPr>
                <w:color w:val="auto"/>
                <w:sz w:val="21"/>
                <w:szCs w:val="21"/>
              </w:rPr>
              <w:t>10</w:t>
            </w:r>
          </w:p>
        </w:tc>
        <w:tc>
          <w:tcPr>
            <w:tcW w:w="138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792C6810">
            <w:pPr>
              <w:snapToGrid w:val="0"/>
              <w:jc w:val="center"/>
              <w:rPr>
                <w:color w:val="auto"/>
                <w:sz w:val="21"/>
                <w:szCs w:val="21"/>
              </w:rPr>
            </w:pPr>
            <w:r>
              <w:rPr>
                <w:rFonts w:hint="eastAsia" w:hAnsi="宋体" w:cs="宋体"/>
                <w:color w:val="auto"/>
                <w:sz w:val="21"/>
                <w:szCs w:val="21"/>
                <w:lang w:bidi="ar"/>
              </w:rPr>
              <w:t>向家屋隧道</w:t>
            </w:r>
          </w:p>
        </w:tc>
        <w:tc>
          <w:tcPr>
            <w:tcW w:w="159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37A13429">
            <w:pPr>
              <w:snapToGrid w:val="0"/>
              <w:jc w:val="center"/>
              <w:rPr>
                <w:color w:val="auto"/>
                <w:sz w:val="21"/>
                <w:szCs w:val="21"/>
              </w:rPr>
            </w:pPr>
            <w:r>
              <w:rPr>
                <w:rFonts w:hint="eastAsia" w:hAnsi="宋体" w:cs="宋体"/>
                <w:color w:val="auto"/>
                <w:sz w:val="21"/>
                <w:szCs w:val="21"/>
                <w:lang w:bidi="ar"/>
              </w:rPr>
              <w:t>570</w:t>
            </w:r>
          </w:p>
        </w:tc>
        <w:tc>
          <w:tcPr>
            <w:tcW w:w="1382" w:type="pct"/>
            <w:tcBorders>
              <w:top w:val="single" w:color="auto" w:sz="4" w:space="0"/>
              <w:left w:val="single" w:color="auto" w:sz="4" w:space="0"/>
              <w:bottom w:val="single" w:color="auto" w:sz="4" w:space="0"/>
              <w:right w:val="single" w:color="auto" w:sz="8" w:space="0"/>
            </w:tcBorders>
            <w:shd w:val="clear" w:color="auto" w:fill="FFFFFF"/>
            <w:tcMar>
              <w:top w:w="0" w:type="dxa"/>
              <w:left w:w="0" w:type="dxa"/>
              <w:right w:w="0" w:type="dxa"/>
            </w:tcMar>
            <w:vAlign w:val="center"/>
          </w:tcPr>
          <w:p w14:paraId="3E5AD698">
            <w:pPr>
              <w:snapToGrid w:val="0"/>
              <w:jc w:val="center"/>
              <w:rPr>
                <w:color w:val="auto"/>
                <w:sz w:val="21"/>
                <w:szCs w:val="21"/>
              </w:rPr>
            </w:pPr>
            <w:r>
              <w:rPr>
                <w:rFonts w:hint="eastAsia"/>
                <w:color w:val="auto"/>
                <w:sz w:val="21"/>
                <w:szCs w:val="21"/>
              </w:rPr>
              <w:t>是</w:t>
            </w:r>
          </w:p>
        </w:tc>
      </w:tr>
      <w:tr w14:paraId="300327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FFFFFF"/>
          <w:tblCellMar>
            <w:top w:w="0" w:type="dxa"/>
            <w:left w:w="0" w:type="dxa"/>
            <w:bottom w:w="0" w:type="dxa"/>
            <w:right w:w="0" w:type="dxa"/>
          </w:tblCellMar>
        </w:tblPrEx>
        <w:trPr>
          <w:trHeight w:val="425" w:hRule="atLeast"/>
          <w:jc w:val="center"/>
        </w:trPr>
        <w:tc>
          <w:tcPr>
            <w:tcW w:w="644" w:type="pct"/>
            <w:tcBorders>
              <w:top w:val="single" w:color="auto" w:sz="4" w:space="0"/>
              <w:left w:val="single" w:color="auto" w:sz="8" w:space="0"/>
              <w:bottom w:val="single" w:color="auto" w:sz="4" w:space="0"/>
              <w:right w:val="single" w:color="auto" w:sz="4" w:space="0"/>
            </w:tcBorders>
            <w:shd w:val="clear" w:color="auto" w:fill="FFFFFF"/>
            <w:tcMar>
              <w:top w:w="0" w:type="dxa"/>
              <w:left w:w="0" w:type="dxa"/>
              <w:right w:w="0" w:type="dxa"/>
            </w:tcMar>
            <w:vAlign w:val="center"/>
          </w:tcPr>
          <w:p w14:paraId="724A5C31">
            <w:pPr>
              <w:snapToGrid w:val="0"/>
              <w:jc w:val="center"/>
              <w:rPr>
                <w:color w:val="auto"/>
                <w:sz w:val="21"/>
                <w:szCs w:val="21"/>
              </w:rPr>
            </w:pPr>
            <w:r>
              <w:rPr>
                <w:color w:val="auto"/>
                <w:sz w:val="21"/>
                <w:szCs w:val="21"/>
              </w:rPr>
              <w:t>11</w:t>
            </w:r>
          </w:p>
        </w:tc>
        <w:tc>
          <w:tcPr>
            <w:tcW w:w="138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29BFC86D">
            <w:pPr>
              <w:snapToGrid w:val="0"/>
              <w:jc w:val="center"/>
              <w:rPr>
                <w:color w:val="auto"/>
                <w:sz w:val="21"/>
                <w:szCs w:val="21"/>
              </w:rPr>
            </w:pPr>
            <w:r>
              <w:rPr>
                <w:rFonts w:hint="eastAsia" w:hAnsi="宋体" w:cs="宋体"/>
                <w:color w:val="auto"/>
                <w:sz w:val="21"/>
                <w:szCs w:val="21"/>
                <w:lang w:bidi="ar"/>
              </w:rPr>
              <w:t>青树岭隧道</w:t>
            </w:r>
          </w:p>
        </w:tc>
        <w:tc>
          <w:tcPr>
            <w:tcW w:w="159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right w:w="0" w:type="dxa"/>
            </w:tcMar>
            <w:vAlign w:val="center"/>
          </w:tcPr>
          <w:p w14:paraId="3D78C48E">
            <w:pPr>
              <w:snapToGrid w:val="0"/>
              <w:jc w:val="center"/>
              <w:rPr>
                <w:color w:val="auto"/>
                <w:sz w:val="21"/>
                <w:szCs w:val="21"/>
              </w:rPr>
            </w:pPr>
            <w:r>
              <w:rPr>
                <w:rFonts w:hint="eastAsia" w:hAnsi="宋体" w:cs="宋体"/>
                <w:color w:val="auto"/>
                <w:sz w:val="21"/>
                <w:szCs w:val="21"/>
                <w:lang w:bidi="ar"/>
              </w:rPr>
              <w:t>4940</w:t>
            </w:r>
          </w:p>
        </w:tc>
        <w:tc>
          <w:tcPr>
            <w:tcW w:w="1382" w:type="pct"/>
            <w:tcBorders>
              <w:top w:val="single" w:color="auto" w:sz="4" w:space="0"/>
              <w:left w:val="single" w:color="auto" w:sz="4" w:space="0"/>
              <w:bottom w:val="single" w:color="auto" w:sz="4" w:space="0"/>
              <w:right w:val="single" w:color="auto" w:sz="8" w:space="0"/>
            </w:tcBorders>
            <w:shd w:val="clear" w:color="auto" w:fill="FFFFFF"/>
            <w:tcMar>
              <w:top w:w="0" w:type="dxa"/>
              <w:left w:w="0" w:type="dxa"/>
              <w:right w:w="0" w:type="dxa"/>
            </w:tcMar>
            <w:vAlign w:val="center"/>
          </w:tcPr>
          <w:p w14:paraId="5D1955F3">
            <w:pPr>
              <w:snapToGrid w:val="0"/>
              <w:jc w:val="center"/>
              <w:rPr>
                <w:color w:val="auto"/>
                <w:sz w:val="21"/>
                <w:szCs w:val="21"/>
              </w:rPr>
            </w:pPr>
            <w:r>
              <w:rPr>
                <w:rFonts w:hint="eastAsia"/>
                <w:color w:val="auto"/>
                <w:sz w:val="21"/>
                <w:szCs w:val="21"/>
              </w:rPr>
              <w:t>是</w:t>
            </w:r>
          </w:p>
        </w:tc>
      </w:tr>
      <w:tr w14:paraId="73E730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644" w:type="pct"/>
            <w:tcBorders>
              <w:top w:val="single" w:color="auto" w:sz="4" w:space="0"/>
              <w:left w:val="single" w:color="auto" w:sz="8" w:space="0"/>
              <w:bottom w:val="single" w:color="auto" w:sz="8" w:space="0"/>
              <w:right w:val="single" w:color="auto" w:sz="4" w:space="0"/>
            </w:tcBorders>
            <w:shd w:val="clear" w:color="auto" w:fill="FFFFFF"/>
            <w:tcMar>
              <w:top w:w="0" w:type="dxa"/>
              <w:left w:w="0" w:type="dxa"/>
              <w:right w:w="0" w:type="dxa"/>
            </w:tcMar>
            <w:vAlign w:val="center"/>
          </w:tcPr>
          <w:p w14:paraId="0409FDB2">
            <w:pPr>
              <w:snapToGrid w:val="0"/>
              <w:jc w:val="center"/>
              <w:rPr>
                <w:color w:val="auto"/>
                <w:sz w:val="21"/>
                <w:szCs w:val="21"/>
              </w:rPr>
            </w:pPr>
            <w:r>
              <w:rPr>
                <w:color w:val="auto"/>
                <w:sz w:val="21"/>
                <w:szCs w:val="21"/>
              </w:rPr>
              <w:t>12</w:t>
            </w:r>
          </w:p>
        </w:tc>
        <w:tc>
          <w:tcPr>
            <w:tcW w:w="1381" w:type="pct"/>
            <w:tcBorders>
              <w:top w:val="single" w:color="auto" w:sz="4" w:space="0"/>
              <w:left w:val="single" w:color="auto" w:sz="4" w:space="0"/>
              <w:bottom w:val="single" w:color="auto" w:sz="8" w:space="0"/>
              <w:right w:val="single" w:color="auto" w:sz="4" w:space="0"/>
            </w:tcBorders>
            <w:shd w:val="clear" w:color="auto" w:fill="FFFFFF"/>
            <w:tcMar>
              <w:top w:w="0" w:type="dxa"/>
              <w:left w:w="0" w:type="dxa"/>
              <w:right w:w="0" w:type="dxa"/>
            </w:tcMar>
            <w:vAlign w:val="center"/>
          </w:tcPr>
          <w:p w14:paraId="0E564027">
            <w:pPr>
              <w:snapToGrid w:val="0"/>
              <w:jc w:val="center"/>
              <w:rPr>
                <w:color w:val="auto"/>
                <w:sz w:val="21"/>
                <w:szCs w:val="21"/>
              </w:rPr>
            </w:pPr>
            <w:r>
              <w:rPr>
                <w:rFonts w:hint="eastAsia" w:hAnsi="宋体" w:cs="宋体"/>
                <w:color w:val="auto"/>
                <w:sz w:val="21"/>
                <w:szCs w:val="21"/>
                <w:lang w:bidi="ar"/>
              </w:rPr>
              <w:t>冀家坡隧道</w:t>
            </w:r>
          </w:p>
        </w:tc>
        <w:tc>
          <w:tcPr>
            <w:tcW w:w="1592" w:type="pct"/>
            <w:tcBorders>
              <w:top w:val="single" w:color="auto" w:sz="4" w:space="0"/>
              <w:left w:val="single" w:color="auto" w:sz="4" w:space="0"/>
              <w:bottom w:val="single" w:color="auto" w:sz="8" w:space="0"/>
              <w:right w:val="single" w:color="auto" w:sz="4" w:space="0"/>
            </w:tcBorders>
            <w:shd w:val="clear" w:color="auto" w:fill="FFFFFF"/>
            <w:tcMar>
              <w:top w:w="0" w:type="dxa"/>
              <w:left w:w="0" w:type="dxa"/>
              <w:right w:w="0" w:type="dxa"/>
            </w:tcMar>
            <w:vAlign w:val="center"/>
          </w:tcPr>
          <w:p w14:paraId="1DE7CB45">
            <w:pPr>
              <w:snapToGrid w:val="0"/>
              <w:jc w:val="center"/>
              <w:rPr>
                <w:rFonts w:hint="eastAsia" w:hAnsi="宋体" w:cs="宋体"/>
                <w:color w:val="auto"/>
                <w:sz w:val="21"/>
                <w:szCs w:val="21"/>
              </w:rPr>
            </w:pPr>
            <w:r>
              <w:rPr>
                <w:rFonts w:hint="eastAsia" w:hAnsi="宋体" w:cs="宋体"/>
                <w:color w:val="auto"/>
                <w:sz w:val="21"/>
                <w:szCs w:val="21"/>
                <w:lang w:bidi="ar"/>
              </w:rPr>
              <w:t>669</w:t>
            </w:r>
          </w:p>
        </w:tc>
        <w:tc>
          <w:tcPr>
            <w:tcW w:w="1382" w:type="pct"/>
            <w:tcBorders>
              <w:top w:val="single" w:color="auto" w:sz="4" w:space="0"/>
              <w:left w:val="single" w:color="auto" w:sz="4" w:space="0"/>
              <w:bottom w:val="single" w:color="auto" w:sz="8" w:space="0"/>
              <w:right w:val="single" w:color="auto" w:sz="8" w:space="0"/>
            </w:tcBorders>
            <w:shd w:val="clear" w:color="auto" w:fill="FFFFFF"/>
            <w:tcMar>
              <w:top w:w="0" w:type="dxa"/>
              <w:left w:w="0" w:type="dxa"/>
              <w:right w:w="0" w:type="dxa"/>
            </w:tcMar>
            <w:vAlign w:val="center"/>
          </w:tcPr>
          <w:p w14:paraId="606DEB42">
            <w:pPr>
              <w:snapToGrid w:val="0"/>
              <w:jc w:val="center"/>
              <w:rPr>
                <w:color w:val="auto"/>
                <w:sz w:val="21"/>
                <w:szCs w:val="21"/>
              </w:rPr>
            </w:pPr>
            <w:r>
              <w:rPr>
                <w:rFonts w:hint="eastAsia"/>
                <w:color w:val="auto"/>
                <w:sz w:val="21"/>
                <w:szCs w:val="21"/>
              </w:rPr>
              <w:t>是</w:t>
            </w:r>
          </w:p>
        </w:tc>
      </w:tr>
    </w:tbl>
    <w:p w14:paraId="551D945A">
      <w:pPr>
        <w:spacing w:before="120"/>
        <w:ind w:firstLine="420" w:firstLineChars="200"/>
        <w:rPr>
          <w:color w:val="auto"/>
          <w:sz w:val="21"/>
          <w:szCs w:val="21"/>
        </w:rPr>
      </w:pPr>
      <w:r>
        <w:rPr>
          <w:rFonts w:hint="eastAsia"/>
          <w:color w:val="auto"/>
          <w:sz w:val="21"/>
          <w:szCs w:val="21"/>
        </w:rPr>
        <w:t>隧道内漏缆设置及漏缆与直放站远端机、隧道口独立天线的连接关系详见《无线子系统构成图》。</w:t>
      </w:r>
    </w:p>
    <w:p w14:paraId="6B7CBEA2">
      <w:pPr>
        <w:spacing w:before="120"/>
        <w:ind w:firstLine="420" w:firstLineChars="200"/>
        <w:rPr>
          <w:color w:val="auto"/>
          <w:sz w:val="21"/>
          <w:szCs w:val="21"/>
        </w:rPr>
      </w:pPr>
      <w:r>
        <w:rPr>
          <w:rFonts w:hint="eastAsia"/>
          <w:color w:val="auto"/>
          <w:sz w:val="21"/>
          <w:szCs w:val="21"/>
        </w:rPr>
        <w:t>（</w:t>
      </w:r>
      <w:r>
        <w:rPr>
          <w:color w:val="auto"/>
          <w:sz w:val="21"/>
          <w:szCs w:val="21"/>
        </w:rPr>
        <w:t>4</w:t>
      </w:r>
      <w:r>
        <w:rPr>
          <w:rFonts w:hint="eastAsia"/>
          <w:color w:val="auto"/>
          <w:sz w:val="21"/>
          <w:szCs w:val="21"/>
        </w:rPr>
        <w:t>）</w:t>
      </w:r>
      <w:r>
        <w:rPr>
          <w:rFonts w:hint="eastAsia" w:hAnsi="宋体"/>
          <w:color w:val="auto"/>
          <w:sz w:val="21"/>
          <w:szCs w:val="21"/>
        </w:rPr>
        <w:t>天馈线</w:t>
      </w:r>
    </w:p>
    <w:p w14:paraId="2BAA3A19">
      <w:pPr>
        <w:ind w:firstLine="420" w:firstLineChars="200"/>
        <w:rPr>
          <w:color w:val="auto"/>
          <w:sz w:val="21"/>
          <w:szCs w:val="21"/>
        </w:rPr>
      </w:pPr>
      <w:r>
        <w:rPr>
          <w:rFonts w:hint="eastAsia"/>
          <w:color w:val="auto"/>
          <w:sz w:val="21"/>
          <w:szCs w:val="21"/>
        </w:rPr>
        <w:t>本工程在自立杆塔上新设板状天线，隧道口天线杆处新设八木天线。每处自立杆塔架设两幅天线，功分器设置在杆塔顶部。天线的方向角和下倾角根据网络优化情况确定。</w:t>
      </w:r>
    </w:p>
    <w:p w14:paraId="3C83A4A1">
      <w:pPr>
        <w:ind w:firstLine="420" w:firstLineChars="200"/>
        <w:rPr>
          <w:color w:val="auto"/>
          <w:sz w:val="21"/>
          <w:szCs w:val="21"/>
        </w:rPr>
      </w:pPr>
      <w:r>
        <w:rPr>
          <w:rFonts w:hint="eastAsia" w:hAnsi="宋体"/>
          <w:color w:val="auto"/>
          <w:sz w:val="21"/>
          <w:szCs w:val="21"/>
        </w:rPr>
        <w:t>天线馈线长度小于</w:t>
      </w:r>
      <w:r>
        <w:rPr>
          <w:color w:val="auto"/>
          <w:sz w:val="21"/>
          <w:szCs w:val="21"/>
        </w:rPr>
        <w:t>60</w:t>
      </w:r>
      <w:r>
        <w:rPr>
          <w:rFonts w:hint="eastAsia" w:hAnsi="宋体"/>
          <w:color w:val="auto"/>
          <w:sz w:val="21"/>
          <w:szCs w:val="21"/>
        </w:rPr>
        <w:t>米时采用</w:t>
      </w:r>
      <w:r>
        <w:rPr>
          <w:color w:val="auto"/>
          <w:sz w:val="21"/>
          <w:szCs w:val="21"/>
        </w:rPr>
        <w:t>1/2″</w:t>
      </w:r>
      <w:r>
        <w:rPr>
          <w:rFonts w:hint="eastAsia" w:hAnsi="宋体"/>
          <w:color w:val="auto"/>
          <w:sz w:val="21"/>
          <w:szCs w:val="21"/>
        </w:rPr>
        <w:t>型号，大于</w:t>
      </w:r>
      <w:r>
        <w:rPr>
          <w:color w:val="auto"/>
          <w:sz w:val="21"/>
          <w:szCs w:val="21"/>
        </w:rPr>
        <w:t>60</w:t>
      </w:r>
      <w:r>
        <w:rPr>
          <w:rFonts w:hint="eastAsia" w:hAnsi="宋体"/>
          <w:color w:val="auto"/>
          <w:sz w:val="21"/>
          <w:szCs w:val="21"/>
        </w:rPr>
        <w:t>米时采用</w:t>
      </w:r>
      <w:r>
        <w:rPr>
          <w:color w:val="auto"/>
          <w:sz w:val="21"/>
          <w:szCs w:val="21"/>
        </w:rPr>
        <w:t>7/8″</w:t>
      </w:r>
      <w:r>
        <w:rPr>
          <w:rFonts w:hint="eastAsia" w:hAnsi="宋体"/>
          <w:color w:val="auto"/>
          <w:sz w:val="21"/>
          <w:szCs w:val="21"/>
        </w:rPr>
        <w:t>型号。车站铁塔与机房距离合适的情况下，馈线尽可能采用上走线（爬架）方式；条件不具备时，采用下走线（直埋</w:t>
      </w:r>
      <w:r>
        <w:rPr>
          <w:color w:val="auto"/>
          <w:sz w:val="21"/>
          <w:szCs w:val="21"/>
        </w:rPr>
        <w:t>PE</w:t>
      </w:r>
      <w:r>
        <w:rPr>
          <w:rFonts w:hint="eastAsia" w:hAnsi="宋体"/>
          <w:color w:val="auto"/>
          <w:sz w:val="21"/>
          <w:szCs w:val="21"/>
        </w:rPr>
        <w:t>管结合钢管防护）方式。馈线敷设时应符合馈线最小弯曲半径的要求。</w:t>
      </w:r>
    </w:p>
    <w:p w14:paraId="214F7C46">
      <w:pPr>
        <w:ind w:firstLine="420" w:firstLineChars="200"/>
        <w:rPr>
          <w:color w:val="auto"/>
          <w:sz w:val="21"/>
          <w:szCs w:val="21"/>
        </w:rPr>
      </w:pPr>
      <w:r>
        <w:rPr>
          <w:rFonts w:hint="eastAsia"/>
          <w:color w:val="auto"/>
          <w:sz w:val="21"/>
          <w:szCs w:val="21"/>
        </w:rPr>
        <w:t>（</w:t>
      </w:r>
      <w:r>
        <w:rPr>
          <w:color w:val="auto"/>
          <w:sz w:val="21"/>
          <w:szCs w:val="21"/>
        </w:rPr>
        <w:t>5</w:t>
      </w:r>
      <w:r>
        <w:rPr>
          <w:rFonts w:hint="eastAsia"/>
          <w:color w:val="auto"/>
          <w:sz w:val="21"/>
          <w:szCs w:val="21"/>
        </w:rPr>
        <w:t>）</w:t>
      </w:r>
      <w:r>
        <w:rPr>
          <w:rFonts w:hint="eastAsia" w:hAnsi="宋体"/>
          <w:color w:val="auto"/>
          <w:sz w:val="21"/>
          <w:szCs w:val="21"/>
        </w:rPr>
        <w:t>手持台</w:t>
      </w:r>
    </w:p>
    <w:p w14:paraId="015F3D5C">
      <w:pPr>
        <w:ind w:firstLine="420" w:firstLineChars="200"/>
        <w:rPr>
          <w:color w:val="auto"/>
          <w:sz w:val="21"/>
          <w:szCs w:val="21"/>
        </w:rPr>
      </w:pPr>
      <w:r>
        <w:rPr>
          <w:rFonts w:hint="eastAsia"/>
          <w:color w:val="auto"/>
          <w:sz w:val="21"/>
          <w:szCs w:val="21"/>
        </w:rPr>
        <w:t>移动手持台配置原则：本工程为列车上以及车站、沿线区间及其他铁路作业区的各工种地面工作人员话音和数据通信的人员配置60台无线行车通信系统手持台手持台，按照运输作业岗位配置；为铁路调车人员、与铁路业务相关的人员话音和数据通信等人员配10台置无线调车通信系统手持台。</w:t>
      </w:r>
    </w:p>
    <w:p w14:paraId="3DC1A12D">
      <w:pPr>
        <w:ind w:firstLine="420" w:firstLineChars="200"/>
        <w:rPr>
          <w:rFonts w:hint="eastAsia" w:hAnsi="宋体"/>
          <w:color w:val="auto"/>
          <w:sz w:val="21"/>
          <w:szCs w:val="21"/>
        </w:rPr>
      </w:pPr>
      <w:r>
        <w:rPr>
          <w:rFonts w:hint="eastAsia"/>
          <w:color w:val="auto"/>
          <w:sz w:val="21"/>
          <w:szCs w:val="21"/>
        </w:rPr>
        <w:t>（</w:t>
      </w:r>
      <w:r>
        <w:rPr>
          <w:color w:val="auto"/>
          <w:sz w:val="21"/>
          <w:szCs w:val="21"/>
        </w:rPr>
        <w:t>6</w:t>
      </w:r>
      <w:r>
        <w:rPr>
          <w:rFonts w:hint="eastAsia"/>
          <w:color w:val="auto"/>
          <w:sz w:val="21"/>
          <w:szCs w:val="21"/>
        </w:rPr>
        <w:t>）</w:t>
      </w:r>
      <w:r>
        <w:rPr>
          <w:rFonts w:hint="eastAsia" w:hAnsi="宋体"/>
          <w:color w:val="auto"/>
          <w:sz w:val="21"/>
          <w:szCs w:val="21"/>
        </w:rPr>
        <w:t>机车台</w:t>
      </w:r>
    </w:p>
    <w:p w14:paraId="48512260">
      <w:pPr>
        <w:ind w:firstLine="420" w:firstLineChars="200"/>
        <w:rPr>
          <w:color w:val="auto"/>
          <w:sz w:val="21"/>
          <w:szCs w:val="21"/>
        </w:rPr>
      </w:pPr>
      <w:r>
        <w:rPr>
          <w:rFonts w:hint="eastAsia"/>
          <w:color w:val="auto"/>
          <w:sz w:val="21"/>
          <w:szCs w:val="21"/>
        </w:rPr>
        <w:t>本工程新设无线列调对讲通信机车台（含天馈）</w:t>
      </w:r>
      <w:r>
        <w:rPr>
          <w:color w:val="auto"/>
          <w:sz w:val="21"/>
          <w:szCs w:val="21"/>
        </w:rPr>
        <w:t>3</w:t>
      </w:r>
      <w:r>
        <w:rPr>
          <w:rFonts w:hint="eastAsia"/>
          <w:color w:val="auto"/>
          <w:sz w:val="21"/>
          <w:szCs w:val="21"/>
        </w:rPr>
        <w:t>套。</w:t>
      </w:r>
    </w:p>
    <w:p w14:paraId="6BA098CF">
      <w:pPr>
        <w:ind w:firstLine="420" w:firstLineChars="200"/>
        <w:rPr>
          <w:color w:val="auto"/>
          <w:sz w:val="21"/>
          <w:szCs w:val="21"/>
        </w:rPr>
      </w:pPr>
      <w:r>
        <w:rPr>
          <w:rFonts w:hint="eastAsia"/>
          <w:color w:val="auto"/>
          <w:sz w:val="21"/>
          <w:szCs w:val="21"/>
        </w:rPr>
        <w:t>机车台及天馈的具体安装方式待设备厂商招标后，根据设备实际尺寸及机车空间情况优化布局。</w:t>
      </w:r>
      <w:bookmarkEnd w:id="590"/>
      <w:bookmarkEnd w:id="591"/>
      <w:bookmarkEnd w:id="592"/>
      <w:bookmarkEnd w:id="593"/>
    </w:p>
    <w:p w14:paraId="0B133889">
      <w:pPr>
        <w:pStyle w:val="8"/>
        <w:rPr>
          <w:rFonts w:hint="eastAsia"/>
          <w:color w:val="auto"/>
          <w:kern w:val="2"/>
          <w:sz w:val="21"/>
          <w:szCs w:val="21"/>
        </w:rPr>
      </w:pPr>
      <w:bookmarkStart w:id="600" w:name="_Toc27611"/>
      <w:r>
        <w:rPr>
          <w:rFonts w:hint="eastAsia"/>
          <w:color w:val="auto"/>
          <w:kern w:val="2"/>
          <w:sz w:val="21"/>
          <w:szCs w:val="21"/>
        </w:rPr>
        <w:t>6. DMR数字综合无线通信系统技术规格</w:t>
      </w:r>
      <w:bookmarkEnd w:id="594"/>
      <w:bookmarkEnd w:id="595"/>
      <w:bookmarkEnd w:id="600"/>
    </w:p>
    <w:p w14:paraId="7B6C92A4">
      <w:pPr>
        <w:rPr>
          <w:b/>
          <w:bCs/>
          <w:color w:val="auto"/>
          <w:sz w:val="21"/>
          <w:szCs w:val="21"/>
        </w:rPr>
      </w:pPr>
      <w:r>
        <w:rPr>
          <w:rFonts w:hint="eastAsia"/>
          <w:b/>
          <w:bCs/>
          <w:color w:val="auto"/>
          <w:sz w:val="21"/>
          <w:szCs w:val="21"/>
        </w:rPr>
        <w:t>6.1</w:t>
      </w:r>
      <w:r>
        <w:rPr>
          <w:b/>
          <w:bCs/>
          <w:color w:val="auto"/>
          <w:sz w:val="21"/>
          <w:szCs w:val="21"/>
        </w:rPr>
        <w:t xml:space="preserve">  </w:t>
      </w:r>
      <w:r>
        <w:rPr>
          <w:rFonts w:hint="eastAsia"/>
          <w:b/>
          <w:bCs/>
          <w:color w:val="auto"/>
          <w:sz w:val="21"/>
          <w:szCs w:val="21"/>
        </w:rPr>
        <w:t>引用标准</w:t>
      </w:r>
    </w:p>
    <w:p w14:paraId="0F42AA99">
      <w:pPr>
        <w:pStyle w:val="13"/>
        <w:wordWrap/>
        <w:spacing w:after="0" w:afterLines="0" w:line="240" w:lineRule="auto"/>
        <w:ind w:firstLine="420" w:firstLineChars="200"/>
        <w:rPr>
          <w:rFonts w:hint="eastAsia"/>
          <w:color w:val="auto"/>
          <w:sz w:val="21"/>
          <w:szCs w:val="21"/>
          <w:lang w:val="fr-FR"/>
        </w:rPr>
      </w:pPr>
      <w:bookmarkStart w:id="601" w:name="_Toc245541004"/>
      <w:bookmarkStart w:id="602" w:name="_Toc12757966"/>
      <w:bookmarkStart w:id="603" w:name="_Toc12696888"/>
      <w:bookmarkStart w:id="604" w:name="_Toc207723042"/>
      <w:bookmarkStart w:id="605" w:name="_Toc165034605"/>
      <w:bookmarkStart w:id="606" w:name="_Toc165109634"/>
      <w:r>
        <w:rPr>
          <w:rFonts w:hint="eastAsia"/>
          <w:color w:val="auto"/>
          <w:sz w:val="21"/>
          <w:szCs w:val="21"/>
          <w:lang w:val="fr-FR"/>
        </w:rPr>
        <w:t>（1）本技术规范的系统及设备应满足但不限于以下标准及要求：</w:t>
      </w:r>
    </w:p>
    <w:p w14:paraId="0B975D5E">
      <w:pPr>
        <w:pStyle w:val="13"/>
        <w:wordWrap/>
        <w:spacing w:after="0" w:afterLines="0" w:line="240" w:lineRule="auto"/>
        <w:ind w:firstLine="420" w:firstLineChars="200"/>
        <w:rPr>
          <w:rFonts w:hint="eastAsia"/>
          <w:color w:val="auto"/>
          <w:sz w:val="21"/>
          <w:szCs w:val="21"/>
          <w:lang w:val="fr-FR"/>
        </w:rPr>
      </w:pPr>
      <w:r>
        <w:rPr>
          <w:rFonts w:ascii="Wingdings" w:hAnsi="Wingdings"/>
          <w:color w:val="auto"/>
          <w:sz w:val="21"/>
          <w:szCs w:val="21"/>
          <w:lang w:val="fr-FR"/>
        </w:rPr>
        <w:t></w:t>
      </w:r>
      <w:r>
        <w:rPr>
          <w:rFonts w:ascii="Wingdings" w:hAnsi="Wingdings"/>
          <w:color w:val="auto"/>
          <w:sz w:val="21"/>
          <w:szCs w:val="21"/>
          <w:lang w:val="fr-FR"/>
        </w:rPr>
        <w:tab/>
      </w:r>
      <w:r>
        <w:rPr>
          <w:rFonts w:hint="eastAsia"/>
          <w:color w:val="auto"/>
          <w:sz w:val="21"/>
          <w:szCs w:val="21"/>
          <w:lang w:val="fr-FR"/>
        </w:rPr>
        <w:t>《铁路通信设计规范》（TB 10006-20</w:t>
      </w:r>
      <w:r>
        <w:rPr>
          <w:color w:val="auto"/>
          <w:sz w:val="21"/>
          <w:szCs w:val="21"/>
          <w:lang w:val="fr-FR"/>
        </w:rPr>
        <w:t>16</w:t>
      </w:r>
      <w:r>
        <w:rPr>
          <w:rFonts w:hint="eastAsia"/>
          <w:color w:val="auto"/>
          <w:sz w:val="21"/>
          <w:szCs w:val="21"/>
          <w:lang w:val="fr-FR"/>
        </w:rPr>
        <w:t>）</w:t>
      </w:r>
    </w:p>
    <w:p w14:paraId="48E591F3">
      <w:pPr>
        <w:pStyle w:val="13"/>
        <w:wordWrap/>
        <w:spacing w:after="0" w:afterLines="0" w:line="240" w:lineRule="auto"/>
        <w:ind w:firstLine="420" w:firstLineChars="200"/>
        <w:rPr>
          <w:rFonts w:hint="eastAsia"/>
          <w:color w:val="auto"/>
          <w:sz w:val="21"/>
          <w:szCs w:val="21"/>
          <w:lang w:val="fr-FR"/>
        </w:rPr>
      </w:pPr>
      <w:r>
        <w:rPr>
          <w:rFonts w:ascii="Wingdings" w:hAnsi="Wingdings"/>
          <w:color w:val="auto"/>
          <w:sz w:val="21"/>
          <w:szCs w:val="21"/>
          <w:lang w:val="fr-FR"/>
        </w:rPr>
        <w:t></w:t>
      </w:r>
      <w:r>
        <w:rPr>
          <w:rFonts w:ascii="Wingdings" w:hAnsi="Wingdings"/>
          <w:color w:val="auto"/>
          <w:sz w:val="21"/>
          <w:szCs w:val="21"/>
          <w:lang w:val="fr-FR"/>
        </w:rPr>
        <w:tab/>
      </w:r>
      <w:r>
        <w:rPr>
          <w:rFonts w:hint="eastAsia"/>
          <w:color w:val="auto"/>
          <w:sz w:val="21"/>
          <w:szCs w:val="21"/>
        </w:rPr>
        <w:t>《列车无线车次号校核信息传送系统》（</w:t>
      </w:r>
      <w:r>
        <w:rPr>
          <w:color w:val="auto"/>
          <w:sz w:val="21"/>
          <w:szCs w:val="21"/>
        </w:rPr>
        <w:t>TB/T3325-2013</w:t>
      </w:r>
      <w:r>
        <w:rPr>
          <w:rFonts w:hint="eastAsia"/>
          <w:color w:val="auto"/>
          <w:sz w:val="21"/>
          <w:szCs w:val="21"/>
        </w:rPr>
        <w:t>）</w:t>
      </w:r>
    </w:p>
    <w:p w14:paraId="2A1CF6F6">
      <w:pPr>
        <w:pStyle w:val="13"/>
        <w:wordWrap/>
        <w:spacing w:after="0" w:afterLines="0" w:line="240" w:lineRule="auto"/>
        <w:ind w:firstLine="420" w:firstLineChars="200"/>
        <w:rPr>
          <w:rFonts w:hint="eastAsia"/>
          <w:color w:val="auto"/>
          <w:sz w:val="21"/>
          <w:szCs w:val="21"/>
          <w:lang w:val="fr-FR"/>
        </w:rPr>
      </w:pPr>
      <w:r>
        <w:rPr>
          <w:rFonts w:ascii="Wingdings" w:hAnsi="Wingdings"/>
          <w:color w:val="auto"/>
          <w:sz w:val="21"/>
          <w:szCs w:val="21"/>
          <w:lang w:val="fr-FR"/>
        </w:rPr>
        <w:t></w:t>
      </w:r>
      <w:r>
        <w:rPr>
          <w:rFonts w:ascii="Wingdings" w:hAnsi="Wingdings"/>
          <w:color w:val="auto"/>
          <w:sz w:val="21"/>
          <w:szCs w:val="21"/>
          <w:lang w:val="fr-FR"/>
        </w:rPr>
        <w:tab/>
      </w:r>
      <w:r>
        <w:rPr>
          <w:rFonts w:hint="eastAsia"/>
          <w:color w:val="auto"/>
          <w:sz w:val="21"/>
          <w:szCs w:val="21"/>
        </w:rPr>
        <w:t>《铁路专用数字对讲设备暂行技术条件》（铁总运【</w:t>
      </w:r>
      <w:r>
        <w:rPr>
          <w:color w:val="auto"/>
          <w:sz w:val="21"/>
          <w:szCs w:val="21"/>
        </w:rPr>
        <w:t>2017</w:t>
      </w:r>
      <w:r>
        <w:rPr>
          <w:rFonts w:hint="eastAsia"/>
          <w:color w:val="auto"/>
          <w:sz w:val="21"/>
          <w:szCs w:val="21"/>
        </w:rPr>
        <w:t>】</w:t>
      </w:r>
      <w:r>
        <w:rPr>
          <w:color w:val="auto"/>
          <w:sz w:val="21"/>
          <w:szCs w:val="21"/>
        </w:rPr>
        <w:t>71</w:t>
      </w:r>
      <w:r>
        <w:rPr>
          <w:rFonts w:hint="eastAsia"/>
          <w:color w:val="auto"/>
          <w:sz w:val="21"/>
          <w:szCs w:val="21"/>
        </w:rPr>
        <w:t>号）</w:t>
      </w:r>
    </w:p>
    <w:p w14:paraId="343B137C">
      <w:pPr>
        <w:pStyle w:val="13"/>
        <w:wordWrap/>
        <w:spacing w:after="0" w:afterLines="0" w:line="240" w:lineRule="auto"/>
        <w:ind w:firstLine="420" w:firstLineChars="200"/>
        <w:rPr>
          <w:rFonts w:hint="eastAsia"/>
          <w:color w:val="auto"/>
          <w:sz w:val="21"/>
          <w:szCs w:val="21"/>
          <w:lang w:val="fr-FR"/>
        </w:rPr>
      </w:pPr>
      <w:r>
        <w:rPr>
          <w:rFonts w:ascii="Wingdings" w:hAnsi="Wingdings"/>
          <w:color w:val="auto"/>
          <w:sz w:val="21"/>
          <w:szCs w:val="21"/>
          <w:lang w:val="fr-FR"/>
        </w:rPr>
        <w:t></w:t>
      </w:r>
      <w:r>
        <w:rPr>
          <w:rFonts w:ascii="Wingdings" w:hAnsi="Wingdings"/>
          <w:color w:val="auto"/>
          <w:sz w:val="21"/>
          <w:szCs w:val="21"/>
          <w:lang w:val="fr-FR"/>
        </w:rPr>
        <w:tab/>
      </w:r>
      <w:r>
        <w:rPr>
          <w:rFonts w:hint="eastAsia"/>
          <w:color w:val="auto"/>
          <w:sz w:val="21"/>
          <w:szCs w:val="21"/>
          <w:lang w:val="fr-FR"/>
        </w:rPr>
        <w:t>《铁路防雷及接地工程技术规范》（</w:t>
      </w:r>
      <w:r>
        <w:rPr>
          <w:color w:val="auto"/>
          <w:sz w:val="21"/>
          <w:szCs w:val="21"/>
          <w:lang w:val="fr-FR"/>
        </w:rPr>
        <w:t>TB 10180-2016</w:t>
      </w:r>
      <w:r>
        <w:rPr>
          <w:rFonts w:hint="eastAsia"/>
          <w:color w:val="auto"/>
          <w:sz w:val="21"/>
          <w:szCs w:val="21"/>
          <w:lang w:val="fr-FR"/>
        </w:rPr>
        <w:t>）</w:t>
      </w:r>
    </w:p>
    <w:p w14:paraId="596746E6">
      <w:pPr>
        <w:pStyle w:val="13"/>
        <w:wordWrap/>
        <w:spacing w:after="0" w:afterLines="0" w:line="240" w:lineRule="auto"/>
        <w:ind w:firstLine="420" w:firstLineChars="200"/>
        <w:rPr>
          <w:rFonts w:hint="eastAsia"/>
          <w:color w:val="auto"/>
          <w:sz w:val="21"/>
          <w:szCs w:val="21"/>
          <w:lang w:val="fr-FR"/>
        </w:rPr>
      </w:pPr>
      <w:r>
        <w:rPr>
          <w:rFonts w:ascii="Wingdings" w:hAnsi="Wingdings"/>
          <w:color w:val="auto"/>
          <w:sz w:val="21"/>
          <w:szCs w:val="21"/>
          <w:lang w:val="fr-FR"/>
        </w:rPr>
        <w:t></w:t>
      </w:r>
      <w:r>
        <w:rPr>
          <w:rFonts w:ascii="Wingdings" w:hAnsi="Wingdings"/>
          <w:color w:val="auto"/>
          <w:sz w:val="21"/>
          <w:szCs w:val="21"/>
          <w:lang w:val="fr-FR"/>
        </w:rPr>
        <w:tab/>
      </w:r>
      <w:r>
        <w:rPr>
          <w:color w:val="auto"/>
          <w:sz w:val="21"/>
          <w:szCs w:val="21"/>
          <w:lang w:val="fr-FR"/>
        </w:rPr>
        <w:t>IEC62278铁路应用：可靠性、可用性、可维护性和安全性（RAMS）规范和说明</w:t>
      </w:r>
    </w:p>
    <w:p w14:paraId="6A17D100">
      <w:pPr>
        <w:pStyle w:val="13"/>
        <w:wordWrap/>
        <w:spacing w:after="0" w:afterLines="0" w:line="240" w:lineRule="auto"/>
        <w:ind w:firstLine="420" w:firstLineChars="200"/>
        <w:rPr>
          <w:rFonts w:hint="eastAsia"/>
          <w:color w:val="auto"/>
          <w:sz w:val="21"/>
          <w:szCs w:val="21"/>
          <w:lang w:val="fr-FR"/>
        </w:rPr>
      </w:pPr>
      <w:r>
        <w:rPr>
          <w:rFonts w:ascii="Wingdings" w:hAnsi="Wingdings"/>
          <w:color w:val="auto"/>
          <w:sz w:val="21"/>
          <w:szCs w:val="21"/>
          <w:lang w:val="fr-FR"/>
        </w:rPr>
        <w:t></w:t>
      </w:r>
      <w:r>
        <w:rPr>
          <w:rFonts w:ascii="Wingdings" w:hAnsi="Wingdings"/>
          <w:color w:val="auto"/>
          <w:sz w:val="21"/>
          <w:szCs w:val="21"/>
          <w:lang w:val="fr-FR"/>
        </w:rPr>
        <w:tab/>
      </w:r>
      <w:r>
        <w:rPr>
          <w:color w:val="auto"/>
          <w:sz w:val="21"/>
          <w:szCs w:val="21"/>
          <w:lang w:val="fr-FR"/>
        </w:rPr>
        <w:t>IEC61508铁路应用：安全相关电子系统</w:t>
      </w:r>
    </w:p>
    <w:p w14:paraId="2EB9D8F9">
      <w:pPr>
        <w:pStyle w:val="13"/>
        <w:wordWrap/>
        <w:spacing w:after="0" w:afterLines="0" w:line="240" w:lineRule="auto"/>
        <w:ind w:firstLine="420" w:firstLineChars="200"/>
        <w:rPr>
          <w:rFonts w:hint="eastAsia"/>
          <w:color w:val="auto"/>
          <w:sz w:val="21"/>
          <w:szCs w:val="21"/>
          <w:lang w:val="fr-FR"/>
        </w:rPr>
      </w:pPr>
      <w:r>
        <w:rPr>
          <w:rFonts w:ascii="Wingdings" w:hAnsi="Wingdings"/>
          <w:color w:val="auto"/>
          <w:sz w:val="21"/>
          <w:szCs w:val="21"/>
          <w:lang w:val="fr-FR"/>
        </w:rPr>
        <w:t></w:t>
      </w:r>
      <w:r>
        <w:rPr>
          <w:rFonts w:ascii="Wingdings" w:hAnsi="Wingdings"/>
          <w:color w:val="auto"/>
          <w:sz w:val="21"/>
          <w:szCs w:val="21"/>
          <w:lang w:val="fr-FR"/>
        </w:rPr>
        <w:tab/>
      </w:r>
      <w:r>
        <w:rPr>
          <w:color w:val="auto"/>
          <w:sz w:val="21"/>
          <w:szCs w:val="21"/>
          <w:lang w:val="fr-FR"/>
        </w:rPr>
        <w:t>国际电工学会标准（IEC）</w:t>
      </w:r>
    </w:p>
    <w:p w14:paraId="2AC5987B">
      <w:pPr>
        <w:pStyle w:val="13"/>
        <w:wordWrap/>
        <w:spacing w:after="0" w:afterLines="0" w:line="240" w:lineRule="auto"/>
        <w:ind w:firstLine="420" w:firstLineChars="200"/>
        <w:rPr>
          <w:rFonts w:hint="eastAsia"/>
          <w:color w:val="auto"/>
          <w:sz w:val="21"/>
          <w:szCs w:val="21"/>
          <w:lang w:val="fr-FR"/>
        </w:rPr>
      </w:pPr>
      <w:r>
        <w:rPr>
          <w:rFonts w:ascii="Wingdings" w:hAnsi="Wingdings"/>
          <w:color w:val="auto"/>
          <w:sz w:val="21"/>
          <w:szCs w:val="21"/>
          <w:lang w:val="fr-FR"/>
        </w:rPr>
        <w:t></w:t>
      </w:r>
      <w:r>
        <w:rPr>
          <w:rFonts w:ascii="Wingdings" w:hAnsi="Wingdings"/>
          <w:color w:val="auto"/>
          <w:sz w:val="21"/>
          <w:szCs w:val="21"/>
          <w:lang w:val="fr-FR"/>
        </w:rPr>
        <w:tab/>
      </w:r>
      <w:r>
        <w:rPr>
          <w:color w:val="auto"/>
          <w:sz w:val="21"/>
          <w:szCs w:val="21"/>
          <w:lang w:val="fr-FR"/>
        </w:rPr>
        <w:t>国际电气与电子工程师学会标准（IEEE）</w:t>
      </w:r>
    </w:p>
    <w:p w14:paraId="79778038">
      <w:pPr>
        <w:pStyle w:val="13"/>
        <w:wordWrap/>
        <w:spacing w:after="0" w:afterLines="0" w:line="240" w:lineRule="auto"/>
        <w:ind w:firstLine="420" w:firstLineChars="200"/>
        <w:rPr>
          <w:rFonts w:hint="eastAsia"/>
          <w:color w:val="auto"/>
          <w:sz w:val="21"/>
          <w:szCs w:val="21"/>
          <w:lang w:val="fr-FR"/>
        </w:rPr>
      </w:pPr>
      <w:r>
        <w:rPr>
          <w:rFonts w:ascii="Wingdings" w:hAnsi="Wingdings"/>
          <w:color w:val="auto"/>
          <w:sz w:val="21"/>
          <w:szCs w:val="21"/>
          <w:lang w:val="fr-FR"/>
        </w:rPr>
        <w:t></w:t>
      </w:r>
      <w:r>
        <w:rPr>
          <w:rFonts w:ascii="Wingdings" w:hAnsi="Wingdings"/>
          <w:color w:val="auto"/>
          <w:sz w:val="21"/>
          <w:szCs w:val="21"/>
          <w:lang w:val="fr-FR"/>
        </w:rPr>
        <w:tab/>
      </w:r>
      <w:r>
        <w:rPr>
          <w:color w:val="auto"/>
          <w:sz w:val="21"/>
          <w:szCs w:val="21"/>
          <w:lang w:val="fr-FR"/>
        </w:rPr>
        <w:t>国际电信联盟有关标准（ITU-T）</w:t>
      </w:r>
    </w:p>
    <w:p w14:paraId="787EE6DE">
      <w:pPr>
        <w:pStyle w:val="13"/>
        <w:wordWrap/>
        <w:spacing w:after="0" w:afterLines="0" w:line="240" w:lineRule="auto"/>
        <w:ind w:firstLine="420" w:firstLineChars="200"/>
        <w:rPr>
          <w:rFonts w:hint="eastAsia"/>
          <w:color w:val="auto"/>
          <w:sz w:val="21"/>
          <w:szCs w:val="21"/>
          <w:lang w:val="fr-FR"/>
        </w:rPr>
      </w:pPr>
      <w:r>
        <w:rPr>
          <w:rFonts w:ascii="Wingdings" w:hAnsi="Wingdings"/>
          <w:color w:val="auto"/>
          <w:sz w:val="21"/>
          <w:szCs w:val="21"/>
          <w:lang w:val="fr-FR"/>
        </w:rPr>
        <w:t></w:t>
      </w:r>
      <w:r>
        <w:rPr>
          <w:rFonts w:ascii="Wingdings" w:hAnsi="Wingdings"/>
          <w:color w:val="auto"/>
          <w:sz w:val="21"/>
          <w:szCs w:val="21"/>
          <w:lang w:val="fr-FR"/>
        </w:rPr>
        <w:tab/>
      </w:r>
      <w:r>
        <w:rPr>
          <w:color w:val="auto"/>
          <w:sz w:val="21"/>
          <w:szCs w:val="21"/>
          <w:lang w:val="fr-FR"/>
        </w:rPr>
        <w:t>国际标准化组织标准（ISO）</w:t>
      </w:r>
    </w:p>
    <w:p w14:paraId="376BBCAC">
      <w:pPr>
        <w:pStyle w:val="13"/>
        <w:wordWrap/>
        <w:spacing w:after="0" w:afterLines="0" w:line="240" w:lineRule="auto"/>
        <w:ind w:firstLine="420" w:firstLineChars="200"/>
        <w:rPr>
          <w:rFonts w:hint="eastAsia"/>
          <w:color w:val="auto"/>
          <w:sz w:val="21"/>
          <w:szCs w:val="21"/>
          <w:lang w:val="fr-FR"/>
        </w:rPr>
      </w:pPr>
      <w:r>
        <w:rPr>
          <w:rFonts w:ascii="Wingdings" w:hAnsi="Wingdings"/>
          <w:color w:val="auto"/>
          <w:sz w:val="21"/>
          <w:szCs w:val="21"/>
          <w:lang w:val="fr-FR"/>
        </w:rPr>
        <w:t></w:t>
      </w:r>
      <w:r>
        <w:rPr>
          <w:rFonts w:ascii="Wingdings" w:hAnsi="Wingdings"/>
          <w:color w:val="auto"/>
          <w:sz w:val="21"/>
          <w:szCs w:val="21"/>
          <w:lang w:val="fr-FR"/>
        </w:rPr>
        <w:tab/>
      </w:r>
      <w:r>
        <w:rPr>
          <w:color w:val="auto"/>
          <w:sz w:val="21"/>
          <w:szCs w:val="21"/>
          <w:lang w:val="fr-FR"/>
        </w:rPr>
        <w:t>国际铁路联盟标准（UIC）</w:t>
      </w:r>
    </w:p>
    <w:p w14:paraId="3B31ED39">
      <w:pPr>
        <w:pStyle w:val="13"/>
        <w:wordWrap/>
        <w:spacing w:after="0" w:afterLines="0" w:line="240" w:lineRule="auto"/>
        <w:ind w:firstLine="420" w:firstLineChars="200"/>
        <w:rPr>
          <w:rFonts w:hint="eastAsia"/>
          <w:color w:val="auto"/>
          <w:sz w:val="21"/>
          <w:szCs w:val="21"/>
          <w:lang w:val="fr-FR"/>
        </w:rPr>
      </w:pPr>
      <w:r>
        <w:rPr>
          <w:rFonts w:ascii="Wingdings" w:hAnsi="Wingdings"/>
          <w:color w:val="auto"/>
          <w:sz w:val="21"/>
          <w:szCs w:val="21"/>
          <w:lang w:val="fr-FR"/>
        </w:rPr>
        <w:t></w:t>
      </w:r>
      <w:r>
        <w:rPr>
          <w:rFonts w:ascii="Wingdings" w:hAnsi="Wingdings"/>
          <w:color w:val="auto"/>
          <w:sz w:val="21"/>
          <w:szCs w:val="21"/>
          <w:lang w:val="fr-FR"/>
        </w:rPr>
        <w:tab/>
      </w:r>
      <w:r>
        <w:rPr>
          <w:color w:val="auto"/>
          <w:sz w:val="21"/>
          <w:szCs w:val="21"/>
          <w:lang w:val="fr-FR"/>
        </w:rPr>
        <w:t>国际无线咨询委员会标准（CCIR）</w:t>
      </w:r>
    </w:p>
    <w:p w14:paraId="05667C47">
      <w:pPr>
        <w:pStyle w:val="13"/>
        <w:wordWrap/>
        <w:spacing w:after="0" w:afterLines="0" w:line="240" w:lineRule="auto"/>
        <w:ind w:firstLine="420" w:firstLineChars="200"/>
        <w:rPr>
          <w:rFonts w:hint="eastAsia"/>
          <w:color w:val="auto"/>
          <w:sz w:val="21"/>
          <w:szCs w:val="21"/>
        </w:rPr>
      </w:pPr>
      <w:r>
        <w:rPr>
          <w:rFonts w:ascii="Wingdings" w:hAnsi="Wingdings"/>
          <w:color w:val="auto"/>
          <w:sz w:val="21"/>
          <w:szCs w:val="21"/>
        </w:rPr>
        <w:t></w:t>
      </w:r>
      <w:r>
        <w:rPr>
          <w:rFonts w:ascii="Wingdings" w:hAnsi="Wingdings"/>
          <w:color w:val="auto"/>
          <w:sz w:val="21"/>
          <w:szCs w:val="21"/>
        </w:rPr>
        <w:tab/>
      </w:r>
      <w:r>
        <w:rPr>
          <w:rFonts w:hint="eastAsia"/>
          <w:color w:val="auto"/>
          <w:sz w:val="21"/>
          <w:szCs w:val="21"/>
          <w:lang w:val="fr-FR"/>
        </w:rPr>
        <w:t>中华人民共和国原铁道部有关</w:t>
      </w:r>
      <w:r>
        <w:rPr>
          <w:rFonts w:hint="eastAsia"/>
          <w:color w:val="auto"/>
          <w:sz w:val="21"/>
          <w:szCs w:val="21"/>
        </w:rPr>
        <w:t>DMR</w:t>
      </w:r>
      <w:r>
        <w:rPr>
          <w:rFonts w:hint="eastAsia"/>
          <w:color w:val="auto"/>
          <w:sz w:val="21"/>
          <w:szCs w:val="21"/>
          <w:lang w:val="fr-FR"/>
        </w:rPr>
        <w:t>的相关标准规范</w:t>
      </w:r>
    </w:p>
    <w:p w14:paraId="47BA57BB">
      <w:pPr>
        <w:pStyle w:val="13"/>
        <w:wordWrap/>
        <w:spacing w:after="0" w:afterLines="0" w:line="240" w:lineRule="auto"/>
        <w:ind w:firstLine="420" w:firstLineChars="200"/>
        <w:rPr>
          <w:rFonts w:hint="eastAsia"/>
          <w:color w:val="auto"/>
          <w:sz w:val="21"/>
          <w:szCs w:val="21"/>
          <w:lang w:val="fr-FR"/>
        </w:rPr>
      </w:pPr>
      <w:r>
        <w:rPr>
          <w:rFonts w:hint="eastAsia"/>
          <w:color w:val="auto"/>
          <w:sz w:val="21"/>
          <w:szCs w:val="21"/>
          <w:lang w:val="fr-FR"/>
        </w:rPr>
        <w:t>（2）本技术规范书未规定的其它技术要求不劣于ITU-T、IEC建议和中华人民共和国国家标准、中华人民共和国通信行业标准的要求。</w:t>
      </w:r>
    </w:p>
    <w:p w14:paraId="52C473A7">
      <w:pPr>
        <w:pStyle w:val="13"/>
        <w:wordWrap/>
        <w:spacing w:after="0" w:afterLines="0" w:line="240" w:lineRule="auto"/>
        <w:ind w:firstLine="420" w:firstLineChars="200"/>
        <w:rPr>
          <w:rFonts w:hint="eastAsia"/>
          <w:color w:val="auto"/>
          <w:sz w:val="21"/>
          <w:szCs w:val="21"/>
          <w:lang w:val="fr-FR"/>
        </w:rPr>
      </w:pPr>
      <w:r>
        <w:rPr>
          <w:rFonts w:hint="eastAsia"/>
          <w:color w:val="auto"/>
          <w:sz w:val="21"/>
          <w:szCs w:val="21"/>
          <w:lang w:val="fr-FR"/>
        </w:rPr>
        <w:t>（3）其他未详尽部分均按ISO、ITU-T、IEC、IEEE、IETF、UIC、CCIR等标准及中国国家、原铁道部等相关国家、行业标准及文件执行（包括相应的技术条件类标准、工程设计类标准、验收规范类标准、维护规程类标准文件、设备技术类相关文件等，如标准中有可选项，应支持可选项），如有指标未满足，投标人应免费更换。</w:t>
      </w:r>
    </w:p>
    <w:p w14:paraId="5595BBE3">
      <w:pPr>
        <w:pStyle w:val="13"/>
        <w:wordWrap/>
        <w:spacing w:after="0" w:afterLines="0" w:line="240" w:lineRule="auto"/>
        <w:ind w:firstLine="420" w:firstLineChars="200"/>
        <w:rPr>
          <w:rFonts w:hint="eastAsia"/>
          <w:color w:val="auto"/>
          <w:sz w:val="21"/>
          <w:szCs w:val="21"/>
          <w:lang w:val="fr-FR"/>
        </w:rPr>
      </w:pPr>
      <w:r>
        <w:rPr>
          <w:rFonts w:hint="eastAsia"/>
          <w:color w:val="auto"/>
          <w:sz w:val="21"/>
          <w:szCs w:val="21"/>
          <w:lang w:val="fr-FR"/>
        </w:rPr>
        <w:t>（4）以上文件的版本如有更新，按最新版本要求执行</w:t>
      </w:r>
      <w:r>
        <w:rPr>
          <w:color w:val="auto"/>
          <w:sz w:val="21"/>
          <w:szCs w:val="21"/>
          <w:lang w:val="fr-FR"/>
        </w:rPr>
        <w:t>。</w:t>
      </w:r>
    </w:p>
    <w:p w14:paraId="6C55D4B8">
      <w:pPr>
        <w:pStyle w:val="13"/>
        <w:wordWrap/>
        <w:spacing w:after="0" w:afterLines="0" w:line="240" w:lineRule="auto"/>
        <w:ind w:firstLine="420" w:firstLineChars="200"/>
        <w:rPr>
          <w:rFonts w:hint="eastAsia"/>
          <w:color w:val="auto"/>
          <w:sz w:val="21"/>
          <w:szCs w:val="21"/>
          <w:lang w:val="fr-FR"/>
        </w:rPr>
      </w:pPr>
      <w:r>
        <w:rPr>
          <w:rFonts w:hint="eastAsia"/>
          <w:color w:val="auto"/>
          <w:sz w:val="21"/>
          <w:szCs w:val="21"/>
          <w:lang w:val="fr-FR"/>
        </w:rPr>
        <w:t>（</w:t>
      </w:r>
      <w:r>
        <w:rPr>
          <w:color w:val="auto"/>
          <w:sz w:val="21"/>
          <w:szCs w:val="21"/>
          <w:lang w:val="fr-FR"/>
        </w:rPr>
        <w:t>5</w:t>
      </w:r>
      <w:r>
        <w:rPr>
          <w:rFonts w:hint="eastAsia"/>
          <w:color w:val="auto"/>
          <w:sz w:val="21"/>
          <w:szCs w:val="21"/>
          <w:lang w:val="fr-FR"/>
        </w:rPr>
        <w:t>）所有设备的设计、制造、文件、资料及图纸标准都必须采用公制单位。</w:t>
      </w:r>
    </w:p>
    <w:p w14:paraId="33CE8E35">
      <w:pPr>
        <w:rPr>
          <w:b/>
          <w:bCs/>
          <w:color w:val="auto"/>
          <w:sz w:val="21"/>
          <w:szCs w:val="21"/>
        </w:rPr>
      </w:pPr>
      <w:r>
        <w:rPr>
          <w:rFonts w:hint="eastAsia"/>
          <w:b/>
          <w:bCs/>
          <w:color w:val="auto"/>
          <w:sz w:val="21"/>
          <w:szCs w:val="21"/>
        </w:rPr>
        <w:t>6.2</w:t>
      </w:r>
      <w:r>
        <w:rPr>
          <w:b/>
          <w:bCs/>
          <w:color w:val="auto"/>
          <w:sz w:val="21"/>
          <w:szCs w:val="21"/>
        </w:rPr>
        <w:t xml:space="preserve">  DMR</w:t>
      </w:r>
      <w:r>
        <w:rPr>
          <w:rFonts w:hint="eastAsia"/>
          <w:b/>
          <w:bCs/>
          <w:color w:val="auto"/>
          <w:sz w:val="21"/>
          <w:szCs w:val="21"/>
        </w:rPr>
        <w:t>数字综合无线通信系统技术</w:t>
      </w:r>
      <w:bookmarkEnd w:id="601"/>
      <w:r>
        <w:rPr>
          <w:rFonts w:hint="eastAsia"/>
          <w:b/>
          <w:bCs/>
          <w:color w:val="auto"/>
          <w:sz w:val="21"/>
          <w:szCs w:val="21"/>
        </w:rPr>
        <w:t>规格</w:t>
      </w:r>
    </w:p>
    <w:bookmarkEnd w:id="602"/>
    <w:bookmarkEnd w:id="603"/>
    <w:bookmarkEnd w:id="604"/>
    <w:bookmarkEnd w:id="605"/>
    <w:bookmarkEnd w:id="606"/>
    <w:p w14:paraId="1632485F">
      <w:pPr>
        <w:ind w:firstLine="422" w:firstLineChars="200"/>
        <w:rPr>
          <w:b/>
          <w:bCs/>
          <w:color w:val="auto"/>
          <w:sz w:val="21"/>
          <w:szCs w:val="21"/>
        </w:rPr>
      </w:pPr>
      <w:r>
        <w:rPr>
          <w:rFonts w:hint="eastAsia"/>
          <w:b/>
          <w:bCs/>
          <w:color w:val="auto"/>
          <w:sz w:val="21"/>
          <w:szCs w:val="21"/>
        </w:rPr>
        <w:t>6.2</w:t>
      </w:r>
      <w:r>
        <w:rPr>
          <w:b/>
          <w:bCs/>
          <w:color w:val="auto"/>
          <w:sz w:val="21"/>
          <w:szCs w:val="21"/>
        </w:rPr>
        <w:t xml:space="preserve">.1  </w:t>
      </w:r>
      <w:r>
        <w:rPr>
          <w:rFonts w:hint="eastAsia"/>
          <w:b/>
          <w:bCs/>
          <w:color w:val="auto"/>
          <w:sz w:val="21"/>
          <w:szCs w:val="21"/>
        </w:rPr>
        <w:t>设备工作环境及供电条件</w:t>
      </w:r>
    </w:p>
    <w:p w14:paraId="220F1212">
      <w:pPr>
        <w:ind w:firstLine="420" w:firstLineChars="200"/>
        <w:rPr>
          <w:color w:val="auto"/>
          <w:sz w:val="21"/>
          <w:szCs w:val="21"/>
        </w:rPr>
      </w:pPr>
      <w:r>
        <w:rPr>
          <w:color w:val="auto"/>
          <w:sz w:val="21"/>
          <w:szCs w:val="21"/>
        </w:rPr>
        <w:t xml:space="preserve">1  </w:t>
      </w:r>
      <w:r>
        <w:rPr>
          <w:rFonts w:hint="eastAsia"/>
          <w:color w:val="auto"/>
          <w:sz w:val="21"/>
          <w:szCs w:val="21"/>
        </w:rPr>
        <w:t>设备工作环境</w:t>
      </w:r>
    </w:p>
    <w:p w14:paraId="373500CD">
      <w:pPr>
        <w:ind w:firstLine="420" w:firstLineChars="200"/>
        <w:rPr>
          <w:color w:val="auto"/>
          <w:sz w:val="21"/>
          <w:szCs w:val="21"/>
        </w:rPr>
      </w:pPr>
      <w:r>
        <w:rPr>
          <w:rFonts w:hint="eastAsia"/>
          <w:color w:val="auto"/>
          <w:sz w:val="21"/>
          <w:szCs w:val="21"/>
        </w:rPr>
        <w:t>各车站通信机房配置</w:t>
      </w:r>
      <w:r>
        <w:rPr>
          <w:color w:val="auto"/>
          <w:sz w:val="21"/>
          <w:szCs w:val="21"/>
        </w:rPr>
        <w:t>24h</w:t>
      </w:r>
      <w:r>
        <w:rPr>
          <w:rFonts w:hint="eastAsia"/>
          <w:color w:val="auto"/>
          <w:sz w:val="21"/>
          <w:szCs w:val="21"/>
        </w:rPr>
        <w:t>不间断工作机房专用空调，保证长期工作条件：温度</w:t>
      </w:r>
      <w:r>
        <w:rPr>
          <w:color w:val="auto"/>
          <w:sz w:val="21"/>
          <w:szCs w:val="21"/>
        </w:rPr>
        <w:t>18</w:t>
      </w:r>
      <w:r>
        <w:rPr>
          <w:rFonts w:hint="eastAsia" w:ascii="宋体" w:hAnsi="宋体"/>
          <w:color w:val="auto"/>
          <w:sz w:val="21"/>
          <w:szCs w:val="21"/>
        </w:rPr>
        <w:t>～</w:t>
      </w:r>
      <w:r>
        <w:rPr>
          <w:color w:val="auto"/>
          <w:sz w:val="21"/>
          <w:szCs w:val="21"/>
        </w:rPr>
        <w:t>28</w:t>
      </w:r>
      <w:r>
        <w:rPr>
          <w:rFonts w:hint="eastAsia"/>
          <w:color w:val="auto"/>
          <w:sz w:val="21"/>
          <w:szCs w:val="21"/>
        </w:rPr>
        <w:t>℃；湿度</w:t>
      </w:r>
      <w:r>
        <w:rPr>
          <w:color w:val="auto"/>
          <w:sz w:val="21"/>
          <w:szCs w:val="21"/>
        </w:rPr>
        <w:t>30%</w:t>
      </w:r>
      <w:r>
        <w:rPr>
          <w:rFonts w:hint="eastAsia" w:ascii="宋体" w:hAnsi="宋体"/>
          <w:color w:val="auto"/>
          <w:sz w:val="21"/>
          <w:szCs w:val="21"/>
        </w:rPr>
        <w:t>～</w:t>
      </w:r>
      <w:r>
        <w:rPr>
          <w:color w:val="auto"/>
          <w:sz w:val="21"/>
          <w:szCs w:val="21"/>
        </w:rPr>
        <w:t>75%</w:t>
      </w:r>
      <w:r>
        <w:rPr>
          <w:rFonts w:hint="eastAsia"/>
          <w:color w:val="auto"/>
          <w:sz w:val="21"/>
          <w:szCs w:val="21"/>
        </w:rPr>
        <w:t>。</w:t>
      </w:r>
    </w:p>
    <w:p w14:paraId="076C7E29">
      <w:pPr>
        <w:ind w:firstLine="420" w:firstLineChars="200"/>
        <w:rPr>
          <w:color w:val="auto"/>
          <w:sz w:val="21"/>
          <w:szCs w:val="21"/>
        </w:rPr>
      </w:pPr>
      <w:r>
        <w:rPr>
          <w:rFonts w:hint="eastAsia"/>
          <w:color w:val="auto"/>
          <w:sz w:val="21"/>
          <w:szCs w:val="21"/>
        </w:rPr>
        <w:t>区间直放站远端机设备为室外安装方式，设备需满足室外长期工作条件。</w:t>
      </w:r>
    </w:p>
    <w:p w14:paraId="68309B85">
      <w:pPr>
        <w:ind w:firstLine="420" w:firstLineChars="200"/>
        <w:rPr>
          <w:color w:val="auto"/>
          <w:sz w:val="21"/>
          <w:szCs w:val="21"/>
        </w:rPr>
      </w:pPr>
      <w:r>
        <w:rPr>
          <w:color w:val="auto"/>
          <w:sz w:val="21"/>
          <w:szCs w:val="21"/>
        </w:rPr>
        <w:t xml:space="preserve">2  </w:t>
      </w:r>
      <w:r>
        <w:rPr>
          <w:rFonts w:hint="eastAsia"/>
          <w:color w:val="auto"/>
          <w:sz w:val="21"/>
          <w:szCs w:val="21"/>
        </w:rPr>
        <w:t>设备供电条件</w:t>
      </w:r>
    </w:p>
    <w:p w14:paraId="2BCB3919">
      <w:pPr>
        <w:ind w:firstLine="420" w:firstLineChars="200"/>
        <w:rPr>
          <w:color w:val="auto"/>
          <w:sz w:val="21"/>
          <w:szCs w:val="21"/>
        </w:rPr>
      </w:pPr>
      <w:r>
        <w:rPr>
          <w:rFonts w:hint="eastAsia"/>
          <w:color w:val="auto"/>
          <w:sz w:val="21"/>
          <w:szCs w:val="21"/>
        </w:rPr>
        <w:t>各车站通信机房（含新建或利旧）、区间直放站远端机处配置</w:t>
      </w:r>
      <w:r>
        <w:rPr>
          <w:color w:val="auto"/>
          <w:sz w:val="21"/>
          <w:szCs w:val="21"/>
        </w:rPr>
        <w:t>220V</w:t>
      </w:r>
      <w:r>
        <w:rPr>
          <w:rFonts w:hint="eastAsia"/>
          <w:color w:val="auto"/>
          <w:sz w:val="21"/>
          <w:szCs w:val="21"/>
        </w:rPr>
        <w:t>交流配电箱，提供</w:t>
      </w:r>
      <w:r>
        <w:rPr>
          <w:color w:val="auto"/>
          <w:sz w:val="21"/>
          <w:szCs w:val="21"/>
        </w:rPr>
        <w:t>220V</w:t>
      </w:r>
      <w:r>
        <w:rPr>
          <w:rFonts w:hint="eastAsia"/>
          <w:color w:val="auto"/>
          <w:sz w:val="21"/>
          <w:szCs w:val="21"/>
        </w:rPr>
        <w:t>交流供电。</w:t>
      </w:r>
    </w:p>
    <w:p w14:paraId="2E5A509F">
      <w:pPr>
        <w:ind w:firstLine="422" w:firstLineChars="200"/>
        <w:rPr>
          <w:b/>
          <w:bCs/>
          <w:color w:val="auto"/>
          <w:sz w:val="21"/>
          <w:szCs w:val="21"/>
        </w:rPr>
      </w:pPr>
      <w:r>
        <w:rPr>
          <w:rFonts w:hint="eastAsia"/>
          <w:b/>
          <w:bCs/>
          <w:color w:val="auto"/>
          <w:sz w:val="21"/>
          <w:szCs w:val="21"/>
        </w:rPr>
        <w:t>6.2</w:t>
      </w:r>
      <w:r>
        <w:rPr>
          <w:b/>
          <w:bCs/>
          <w:color w:val="auto"/>
          <w:sz w:val="21"/>
          <w:szCs w:val="21"/>
        </w:rPr>
        <w:t xml:space="preserve">.2  </w:t>
      </w:r>
      <w:r>
        <w:rPr>
          <w:rFonts w:hint="eastAsia"/>
          <w:b/>
          <w:bCs/>
          <w:color w:val="auto"/>
          <w:sz w:val="21"/>
          <w:szCs w:val="21"/>
        </w:rPr>
        <w:t>服务器</w:t>
      </w:r>
    </w:p>
    <w:p w14:paraId="59D3A3C0">
      <w:pPr>
        <w:ind w:firstLine="420" w:firstLineChars="200"/>
        <w:rPr>
          <w:rFonts w:hint="eastAsia" w:hAnsi="宋体"/>
          <w:color w:val="auto"/>
          <w:sz w:val="21"/>
          <w:szCs w:val="21"/>
        </w:rPr>
      </w:pPr>
      <w:r>
        <w:rPr>
          <w:color w:val="auto"/>
          <w:sz w:val="21"/>
          <w:szCs w:val="21"/>
        </w:rPr>
        <w:t xml:space="preserve">1  </w:t>
      </w:r>
      <w:r>
        <w:rPr>
          <w:rFonts w:hint="eastAsia"/>
          <w:color w:val="auto"/>
          <w:sz w:val="21"/>
          <w:szCs w:val="21"/>
        </w:rPr>
        <w:t>无线</w:t>
      </w:r>
      <w:r>
        <w:rPr>
          <w:rFonts w:hint="eastAsia" w:hAnsi="宋体"/>
          <w:color w:val="auto"/>
          <w:sz w:val="21"/>
          <w:szCs w:val="21"/>
        </w:rPr>
        <w:t>列调对讲通信系统服务器</w:t>
      </w:r>
    </w:p>
    <w:p w14:paraId="273DDB3D">
      <w:pPr>
        <w:ind w:firstLine="420" w:firstLineChars="200"/>
        <w:rPr>
          <w:color w:val="auto"/>
          <w:sz w:val="21"/>
          <w:szCs w:val="21"/>
        </w:rPr>
      </w:pPr>
      <w:r>
        <w:rPr>
          <w:rFonts w:hint="eastAsia"/>
          <w:color w:val="auto"/>
          <w:sz w:val="21"/>
          <w:szCs w:val="21"/>
        </w:rPr>
        <w:t>无线列调对讲通信系统服务器由中心服务器、录音服务器及</w:t>
      </w:r>
      <w:r>
        <w:rPr>
          <w:color w:val="auto"/>
          <w:sz w:val="21"/>
          <w:szCs w:val="21"/>
        </w:rPr>
        <w:t>json</w:t>
      </w:r>
      <w:r>
        <w:rPr>
          <w:rFonts w:hint="eastAsia"/>
          <w:color w:val="auto"/>
          <w:sz w:val="21"/>
          <w:szCs w:val="21"/>
        </w:rPr>
        <w:t>服务器组成。</w:t>
      </w:r>
    </w:p>
    <w:p w14:paraId="0B106883">
      <w:pPr>
        <w:ind w:firstLine="420" w:firstLineChars="200"/>
        <w:rPr>
          <w:color w:val="auto"/>
          <w:sz w:val="21"/>
          <w:szCs w:val="21"/>
        </w:rPr>
      </w:pPr>
      <w:r>
        <w:rPr>
          <w:rFonts w:hint="eastAsia"/>
          <w:color w:val="auto"/>
          <w:sz w:val="21"/>
          <w:szCs w:val="21"/>
        </w:rPr>
        <w:t>中心服务器功能要求：</w:t>
      </w:r>
    </w:p>
    <w:p w14:paraId="0F8629A8">
      <w:pPr>
        <w:ind w:firstLine="420" w:firstLineChars="200"/>
        <w:rPr>
          <w:color w:val="auto"/>
          <w:sz w:val="21"/>
          <w:szCs w:val="21"/>
        </w:rPr>
      </w:pPr>
      <w:r>
        <w:rPr>
          <w:rFonts w:hint="eastAsia"/>
          <w:color w:val="auto"/>
          <w:sz w:val="21"/>
          <w:szCs w:val="21"/>
        </w:rPr>
        <w:t>（</w:t>
      </w:r>
      <w:r>
        <w:rPr>
          <w:color w:val="auto"/>
          <w:sz w:val="21"/>
          <w:szCs w:val="21"/>
        </w:rPr>
        <w:t>1</w:t>
      </w:r>
      <w:r>
        <w:rPr>
          <w:rFonts w:hint="eastAsia"/>
          <w:color w:val="auto"/>
          <w:sz w:val="21"/>
          <w:szCs w:val="21"/>
        </w:rPr>
        <w:t>）读写数据库信息；</w:t>
      </w:r>
    </w:p>
    <w:p w14:paraId="28F8D11F">
      <w:pPr>
        <w:ind w:firstLine="420" w:firstLineChars="200"/>
        <w:rPr>
          <w:color w:val="auto"/>
          <w:sz w:val="21"/>
          <w:szCs w:val="21"/>
        </w:rPr>
      </w:pPr>
      <w:r>
        <w:rPr>
          <w:rFonts w:hint="eastAsia"/>
          <w:color w:val="auto"/>
          <w:sz w:val="21"/>
          <w:szCs w:val="21"/>
        </w:rPr>
        <w:t>（</w:t>
      </w:r>
      <w:r>
        <w:rPr>
          <w:color w:val="auto"/>
          <w:sz w:val="21"/>
          <w:szCs w:val="21"/>
        </w:rPr>
        <w:t>2</w:t>
      </w:r>
      <w:r>
        <w:rPr>
          <w:rFonts w:hint="eastAsia"/>
          <w:color w:val="auto"/>
          <w:sz w:val="21"/>
          <w:szCs w:val="21"/>
        </w:rPr>
        <w:t>）接收调度台、模拟设备的注册、心跳请求并回复；</w:t>
      </w:r>
    </w:p>
    <w:p w14:paraId="6C7B69DA">
      <w:pPr>
        <w:ind w:firstLine="420" w:firstLineChars="200"/>
        <w:rPr>
          <w:color w:val="auto"/>
          <w:sz w:val="21"/>
          <w:szCs w:val="21"/>
        </w:rPr>
      </w:pPr>
      <w:r>
        <w:rPr>
          <w:rFonts w:hint="eastAsia"/>
          <w:color w:val="auto"/>
          <w:sz w:val="21"/>
          <w:szCs w:val="21"/>
        </w:rPr>
        <w:t>（</w:t>
      </w:r>
      <w:r>
        <w:rPr>
          <w:color w:val="auto"/>
          <w:sz w:val="21"/>
          <w:szCs w:val="21"/>
        </w:rPr>
        <w:t>3</w:t>
      </w:r>
      <w:r>
        <w:rPr>
          <w:rFonts w:hint="eastAsia"/>
          <w:color w:val="auto"/>
          <w:sz w:val="21"/>
          <w:szCs w:val="21"/>
        </w:rPr>
        <w:t>）向录音服务器发送注册、心跳请求，维护和录音服务器的连接状态；</w:t>
      </w:r>
    </w:p>
    <w:p w14:paraId="5598B6FF">
      <w:pPr>
        <w:ind w:firstLine="420" w:firstLineChars="200"/>
        <w:rPr>
          <w:color w:val="auto"/>
          <w:sz w:val="21"/>
          <w:szCs w:val="21"/>
        </w:rPr>
      </w:pPr>
      <w:r>
        <w:rPr>
          <w:rFonts w:hint="eastAsia"/>
          <w:color w:val="auto"/>
          <w:sz w:val="21"/>
          <w:szCs w:val="21"/>
        </w:rPr>
        <w:t>（</w:t>
      </w:r>
      <w:r>
        <w:rPr>
          <w:color w:val="auto"/>
          <w:sz w:val="21"/>
          <w:szCs w:val="21"/>
        </w:rPr>
        <w:t>4</w:t>
      </w:r>
      <w:r>
        <w:rPr>
          <w:rFonts w:hint="eastAsia"/>
          <w:color w:val="auto"/>
          <w:sz w:val="21"/>
          <w:szCs w:val="21"/>
        </w:rPr>
        <w:t>）处理移动终端、调度台语音呼叫并进行仲裁处理（上行和下行）；</w:t>
      </w:r>
    </w:p>
    <w:p w14:paraId="5EB13691">
      <w:pPr>
        <w:ind w:firstLine="420" w:firstLineChars="200"/>
        <w:rPr>
          <w:color w:val="auto"/>
          <w:sz w:val="21"/>
          <w:szCs w:val="21"/>
        </w:rPr>
      </w:pPr>
      <w:r>
        <w:rPr>
          <w:rFonts w:hint="eastAsia"/>
          <w:color w:val="auto"/>
          <w:sz w:val="21"/>
          <w:szCs w:val="21"/>
        </w:rPr>
        <w:t>（</w:t>
      </w:r>
      <w:r>
        <w:rPr>
          <w:color w:val="auto"/>
          <w:sz w:val="21"/>
          <w:szCs w:val="21"/>
        </w:rPr>
        <w:t>5</w:t>
      </w:r>
      <w:r>
        <w:rPr>
          <w:rFonts w:hint="eastAsia"/>
          <w:color w:val="auto"/>
          <w:sz w:val="21"/>
          <w:szCs w:val="21"/>
        </w:rPr>
        <w:t>）处理移动终端、调度台数据内容并处理（上行和下行）；</w:t>
      </w:r>
    </w:p>
    <w:p w14:paraId="4F874206">
      <w:pPr>
        <w:ind w:firstLine="420" w:firstLineChars="200"/>
        <w:rPr>
          <w:color w:val="auto"/>
          <w:sz w:val="21"/>
          <w:szCs w:val="21"/>
        </w:rPr>
      </w:pPr>
      <w:r>
        <w:rPr>
          <w:rFonts w:hint="eastAsia"/>
          <w:color w:val="auto"/>
          <w:sz w:val="21"/>
          <w:szCs w:val="21"/>
        </w:rPr>
        <w:t>（</w:t>
      </w:r>
      <w:r>
        <w:rPr>
          <w:color w:val="auto"/>
          <w:sz w:val="21"/>
          <w:szCs w:val="21"/>
        </w:rPr>
        <w:t>6</w:t>
      </w:r>
      <w:r>
        <w:rPr>
          <w:rFonts w:hint="eastAsia"/>
          <w:color w:val="auto"/>
          <w:sz w:val="21"/>
          <w:szCs w:val="21"/>
        </w:rPr>
        <w:t>）维护当前系统所有通话的通话链表。</w:t>
      </w:r>
    </w:p>
    <w:p w14:paraId="12FCC8DC">
      <w:pPr>
        <w:ind w:firstLine="420" w:firstLineChars="200"/>
        <w:rPr>
          <w:color w:val="auto"/>
          <w:sz w:val="21"/>
          <w:szCs w:val="21"/>
        </w:rPr>
      </w:pPr>
      <w:r>
        <w:rPr>
          <w:rFonts w:hint="eastAsia"/>
          <w:color w:val="auto"/>
          <w:sz w:val="21"/>
          <w:szCs w:val="21"/>
        </w:rPr>
        <w:t>录音服务器功能要求：</w:t>
      </w:r>
    </w:p>
    <w:p w14:paraId="06B249E3">
      <w:pPr>
        <w:ind w:firstLine="420" w:firstLineChars="200"/>
        <w:rPr>
          <w:color w:val="auto"/>
          <w:sz w:val="21"/>
          <w:szCs w:val="21"/>
        </w:rPr>
      </w:pPr>
      <w:r>
        <w:rPr>
          <w:rFonts w:hint="eastAsia"/>
          <w:color w:val="auto"/>
          <w:sz w:val="21"/>
          <w:szCs w:val="21"/>
        </w:rPr>
        <w:t>（</w:t>
      </w:r>
      <w:r>
        <w:rPr>
          <w:color w:val="auto"/>
          <w:sz w:val="21"/>
          <w:szCs w:val="21"/>
        </w:rPr>
        <w:t>1</w:t>
      </w:r>
      <w:r>
        <w:rPr>
          <w:rFonts w:hint="eastAsia"/>
          <w:color w:val="auto"/>
          <w:sz w:val="21"/>
          <w:szCs w:val="21"/>
        </w:rPr>
        <w:t>）接收中心服务器的注册、心跳请求并回复；</w:t>
      </w:r>
    </w:p>
    <w:p w14:paraId="00C93228">
      <w:pPr>
        <w:ind w:firstLine="420" w:firstLineChars="200"/>
        <w:rPr>
          <w:color w:val="auto"/>
          <w:sz w:val="21"/>
          <w:szCs w:val="21"/>
        </w:rPr>
      </w:pPr>
      <w:r>
        <w:rPr>
          <w:rFonts w:hint="eastAsia"/>
          <w:color w:val="auto"/>
          <w:sz w:val="21"/>
          <w:szCs w:val="21"/>
        </w:rPr>
        <w:t>（</w:t>
      </w:r>
      <w:r>
        <w:rPr>
          <w:color w:val="auto"/>
          <w:sz w:val="21"/>
          <w:szCs w:val="21"/>
        </w:rPr>
        <w:t>2</w:t>
      </w:r>
      <w:r>
        <w:rPr>
          <w:rFonts w:hint="eastAsia"/>
          <w:color w:val="auto"/>
          <w:sz w:val="21"/>
          <w:szCs w:val="21"/>
        </w:rPr>
        <w:t>）接收中心服务器发送的语音数据并保存；</w:t>
      </w:r>
    </w:p>
    <w:p w14:paraId="4195CDD9">
      <w:pPr>
        <w:ind w:firstLine="420" w:firstLineChars="200"/>
        <w:rPr>
          <w:color w:val="auto"/>
          <w:sz w:val="21"/>
          <w:szCs w:val="21"/>
        </w:rPr>
      </w:pPr>
      <w:r>
        <w:rPr>
          <w:rFonts w:hint="eastAsia"/>
          <w:color w:val="auto"/>
          <w:sz w:val="21"/>
          <w:szCs w:val="21"/>
        </w:rPr>
        <w:t>（</w:t>
      </w:r>
      <w:r>
        <w:rPr>
          <w:color w:val="auto"/>
          <w:sz w:val="21"/>
          <w:szCs w:val="21"/>
        </w:rPr>
        <w:t>3</w:t>
      </w:r>
      <w:r>
        <w:rPr>
          <w:rFonts w:hint="eastAsia"/>
          <w:color w:val="auto"/>
          <w:sz w:val="21"/>
          <w:szCs w:val="21"/>
        </w:rPr>
        <w:t>）接收中心服务器发送的语音内容请求，并回复。</w:t>
      </w:r>
    </w:p>
    <w:p w14:paraId="2B06C2D8">
      <w:pPr>
        <w:ind w:firstLine="420" w:firstLineChars="200"/>
        <w:rPr>
          <w:color w:val="auto"/>
          <w:sz w:val="21"/>
          <w:szCs w:val="21"/>
        </w:rPr>
      </w:pPr>
      <w:r>
        <w:rPr>
          <w:color w:val="auto"/>
          <w:sz w:val="21"/>
          <w:szCs w:val="21"/>
        </w:rPr>
        <w:t>Json</w:t>
      </w:r>
      <w:r>
        <w:rPr>
          <w:rFonts w:hint="eastAsia"/>
          <w:color w:val="auto"/>
          <w:sz w:val="21"/>
          <w:szCs w:val="21"/>
        </w:rPr>
        <w:t>服务器功能要求：</w:t>
      </w:r>
    </w:p>
    <w:p w14:paraId="3D6DA293">
      <w:pPr>
        <w:ind w:firstLine="420" w:firstLineChars="200"/>
        <w:rPr>
          <w:color w:val="auto"/>
          <w:sz w:val="21"/>
          <w:szCs w:val="21"/>
        </w:rPr>
      </w:pPr>
      <w:r>
        <w:rPr>
          <w:rFonts w:hint="eastAsia"/>
          <w:color w:val="auto"/>
          <w:sz w:val="21"/>
          <w:szCs w:val="21"/>
        </w:rPr>
        <w:t>（</w:t>
      </w:r>
      <w:r>
        <w:rPr>
          <w:color w:val="auto"/>
          <w:sz w:val="21"/>
          <w:szCs w:val="21"/>
        </w:rPr>
        <w:t>1</w:t>
      </w:r>
      <w:r>
        <w:rPr>
          <w:rFonts w:hint="eastAsia"/>
          <w:color w:val="auto"/>
          <w:sz w:val="21"/>
          <w:szCs w:val="21"/>
        </w:rPr>
        <w:t>）处理调度应用软件发送的用户数据请求；</w:t>
      </w:r>
    </w:p>
    <w:p w14:paraId="3202AD88">
      <w:pPr>
        <w:ind w:firstLine="420" w:firstLineChars="200"/>
        <w:rPr>
          <w:color w:val="auto"/>
          <w:sz w:val="21"/>
          <w:szCs w:val="21"/>
        </w:rPr>
      </w:pPr>
      <w:r>
        <w:rPr>
          <w:rFonts w:hint="eastAsia"/>
          <w:color w:val="auto"/>
          <w:sz w:val="21"/>
          <w:szCs w:val="21"/>
        </w:rPr>
        <w:t>（</w:t>
      </w:r>
      <w:r>
        <w:rPr>
          <w:color w:val="auto"/>
          <w:sz w:val="21"/>
          <w:szCs w:val="21"/>
        </w:rPr>
        <w:t>2</w:t>
      </w:r>
      <w:r>
        <w:rPr>
          <w:rFonts w:hint="eastAsia"/>
          <w:color w:val="auto"/>
          <w:sz w:val="21"/>
          <w:szCs w:val="21"/>
        </w:rPr>
        <w:t>）处理调度应用软件发送的语音内容请求；</w:t>
      </w:r>
    </w:p>
    <w:p w14:paraId="2BC802DD">
      <w:pPr>
        <w:ind w:firstLine="420" w:firstLineChars="200"/>
        <w:rPr>
          <w:color w:val="auto"/>
          <w:sz w:val="21"/>
          <w:szCs w:val="21"/>
        </w:rPr>
      </w:pPr>
      <w:r>
        <w:rPr>
          <w:rFonts w:hint="eastAsia"/>
          <w:color w:val="auto"/>
          <w:sz w:val="21"/>
          <w:szCs w:val="21"/>
        </w:rPr>
        <w:t>（</w:t>
      </w:r>
      <w:r>
        <w:rPr>
          <w:color w:val="auto"/>
          <w:sz w:val="21"/>
          <w:szCs w:val="21"/>
        </w:rPr>
        <w:t>3</w:t>
      </w:r>
      <w:r>
        <w:rPr>
          <w:rFonts w:hint="eastAsia"/>
          <w:color w:val="auto"/>
          <w:sz w:val="21"/>
          <w:szCs w:val="21"/>
        </w:rPr>
        <w:t>）处理调度应用软件发送的</w:t>
      </w:r>
      <w:r>
        <w:rPr>
          <w:color w:val="auto"/>
          <w:sz w:val="21"/>
          <w:szCs w:val="21"/>
        </w:rPr>
        <w:t>GPS/</w:t>
      </w:r>
      <w:r>
        <w:rPr>
          <w:rFonts w:hint="eastAsia"/>
          <w:color w:val="auto"/>
          <w:sz w:val="21"/>
          <w:szCs w:val="21"/>
        </w:rPr>
        <w:t>北斗信息请求；</w:t>
      </w:r>
    </w:p>
    <w:p w14:paraId="3322A490">
      <w:pPr>
        <w:ind w:firstLine="420" w:firstLineChars="200"/>
        <w:rPr>
          <w:color w:val="auto"/>
          <w:sz w:val="21"/>
          <w:szCs w:val="21"/>
        </w:rPr>
      </w:pPr>
      <w:r>
        <w:rPr>
          <w:rFonts w:hint="eastAsia"/>
          <w:color w:val="auto"/>
          <w:sz w:val="21"/>
          <w:szCs w:val="21"/>
        </w:rPr>
        <w:t>（</w:t>
      </w:r>
      <w:r>
        <w:rPr>
          <w:color w:val="auto"/>
          <w:sz w:val="21"/>
          <w:szCs w:val="21"/>
        </w:rPr>
        <w:t>4</w:t>
      </w:r>
      <w:r>
        <w:rPr>
          <w:rFonts w:hint="eastAsia"/>
          <w:color w:val="auto"/>
          <w:sz w:val="21"/>
          <w:szCs w:val="21"/>
        </w:rPr>
        <w:t>）处理调度应用软件发送的短消息请求。</w:t>
      </w:r>
    </w:p>
    <w:p w14:paraId="530FFEB4">
      <w:pPr>
        <w:ind w:firstLine="420" w:firstLineChars="200"/>
        <w:rPr>
          <w:color w:val="auto"/>
          <w:sz w:val="21"/>
          <w:szCs w:val="21"/>
        </w:rPr>
      </w:pPr>
      <w:r>
        <w:rPr>
          <w:rFonts w:hint="eastAsia"/>
          <w:color w:val="auto"/>
          <w:sz w:val="21"/>
          <w:szCs w:val="21"/>
        </w:rPr>
        <w:t>无线列调对讲通信系统服务器技术指标及配置不低于下表的要求：</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291"/>
        <w:gridCol w:w="6035"/>
      </w:tblGrid>
      <w:tr w14:paraId="799A55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376" w:type="pct"/>
            <w:tcMar>
              <w:top w:w="0" w:type="dxa"/>
              <w:left w:w="0" w:type="dxa"/>
              <w:right w:w="0" w:type="dxa"/>
            </w:tcMar>
            <w:vAlign w:val="center"/>
          </w:tcPr>
          <w:p w14:paraId="27AB29CA">
            <w:pPr>
              <w:snapToGrid w:val="0"/>
              <w:jc w:val="center"/>
              <w:rPr>
                <w:color w:val="auto"/>
                <w:sz w:val="21"/>
                <w:szCs w:val="21"/>
              </w:rPr>
            </w:pPr>
            <w:r>
              <w:rPr>
                <w:rFonts w:hint="eastAsia"/>
                <w:color w:val="auto"/>
                <w:sz w:val="21"/>
                <w:szCs w:val="21"/>
              </w:rPr>
              <w:t>操作系统</w:t>
            </w:r>
          </w:p>
        </w:tc>
        <w:tc>
          <w:tcPr>
            <w:tcW w:w="3624" w:type="pct"/>
            <w:tcMar>
              <w:top w:w="0" w:type="dxa"/>
              <w:left w:w="0" w:type="dxa"/>
              <w:right w:w="0" w:type="dxa"/>
            </w:tcMar>
            <w:vAlign w:val="center"/>
          </w:tcPr>
          <w:p w14:paraId="6C6F0186">
            <w:pPr>
              <w:snapToGrid w:val="0"/>
              <w:ind w:left="28" w:leftChars="10" w:right="14" w:rightChars="5"/>
              <w:jc w:val="left"/>
              <w:rPr>
                <w:color w:val="auto"/>
                <w:sz w:val="21"/>
                <w:szCs w:val="21"/>
              </w:rPr>
            </w:pPr>
            <w:r>
              <w:rPr>
                <w:color w:val="auto"/>
                <w:sz w:val="21"/>
                <w:szCs w:val="21"/>
              </w:rPr>
              <w:t>redhat 7.0 64bit</w:t>
            </w:r>
          </w:p>
        </w:tc>
      </w:tr>
      <w:tr w14:paraId="5558BB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76" w:type="pct"/>
            <w:tcMar>
              <w:top w:w="0" w:type="dxa"/>
              <w:left w:w="0" w:type="dxa"/>
              <w:right w:w="0" w:type="dxa"/>
            </w:tcMar>
            <w:vAlign w:val="center"/>
          </w:tcPr>
          <w:p w14:paraId="30BD0EB7">
            <w:pPr>
              <w:snapToGrid w:val="0"/>
              <w:jc w:val="center"/>
              <w:rPr>
                <w:color w:val="auto"/>
                <w:sz w:val="21"/>
                <w:szCs w:val="21"/>
              </w:rPr>
            </w:pPr>
            <w:r>
              <w:rPr>
                <w:rFonts w:hint="eastAsia"/>
                <w:color w:val="auto"/>
                <w:sz w:val="21"/>
                <w:szCs w:val="21"/>
              </w:rPr>
              <w:t>处理器</w:t>
            </w:r>
          </w:p>
        </w:tc>
        <w:tc>
          <w:tcPr>
            <w:tcW w:w="3624" w:type="pct"/>
            <w:tcMar>
              <w:top w:w="0" w:type="dxa"/>
              <w:left w:w="0" w:type="dxa"/>
              <w:right w:w="0" w:type="dxa"/>
            </w:tcMar>
            <w:vAlign w:val="center"/>
          </w:tcPr>
          <w:p w14:paraId="5FEA513A">
            <w:pPr>
              <w:snapToGrid w:val="0"/>
              <w:ind w:left="28" w:leftChars="10" w:right="14" w:rightChars="5"/>
              <w:jc w:val="left"/>
              <w:rPr>
                <w:color w:val="auto"/>
                <w:sz w:val="21"/>
                <w:szCs w:val="21"/>
              </w:rPr>
            </w:pPr>
            <w:r>
              <w:rPr>
                <w:color w:val="auto"/>
                <w:sz w:val="21"/>
                <w:szCs w:val="21"/>
              </w:rPr>
              <w:t>CPU</w:t>
            </w:r>
            <w:r>
              <w:rPr>
                <w:rFonts w:hint="eastAsia"/>
                <w:color w:val="auto"/>
                <w:sz w:val="21"/>
                <w:szCs w:val="21"/>
              </w:rPr>
              <w:t>型号：英特尔</w:t>
            </w:r>
            <w:r>
              <w:rPr>
                <w:color w:val="auto"/>
                <w:sz w:val="21"/>
                <w:szCs w:val="21"/>
              </w:rPr>
              <w:t xml:space="preserve"> Intel Xeon E5-2600 V4</w:t>
            </w:r>
            <w:r>
              <w:rPr>
                <w:rFonts w:hint="eastAsia"/>
                <w:color w:val="auto"/>
                <w:sz w:val="21"/>
                <w:szCs w:val="21"/>
              </w:rPr>
              <w:t>系列</w:t>
            </w:r>
          </w:p>
          <w:p w14:paraId="3B3B1A9A">
            <w:pPr>
              <w:snapToGrid w:val="0"/>
              <w:ind w:left="28" w:leftChars="10" w:right="14" w:rightChars="5"/>
              <w:jc w:val="left"/>
              <w:rPr>
                <w:color w:val="auto"/>
                <w:sz w:val="21"/>
                <w:szCs w:val="21"/>
              </w:rPr>
            </w:pPr>
            <w:r>
              <w:rPr>
                <w:color w:val="auto"/>
                <w:sz w:val="21"/>
                <w:szCs w:val="21"/>
              </w:rPr>
              <w:t>CPU</w:t>
            </w:r>
            <w:r>
              <w:rPr>
                <w:rFonts w:hint="eastAsia"/>
                <w:color w:val="auto"/>
                <w:sz w:val="21"/>
                <w:szCs w:val="21"/>
              </w:rPr>
              <w:t>频率：</w:t>
            </w:r>
            <w:r>
              <w:rPr>
                <w:color w:val="auto"/>
                <w:sz w:val="21"/>
                <w:szCs w:val="21"/>
              </w:rPr>
              <w:t xml:space="preserve">3GHz </w:t>
            </w:r>
            <w:r>
              <w:rPr>
                <w:rFonts w:hint="eastAsia"/>
                <w:color w:val="auto"/>
                <w:sz w:val="21"/>
                <w:szCs w:val="21"/>
              </w:rPr>
              <w:t>，</w:t>
            </w:r>
            <w:r>
              <w:rPr>
                <w:color w:val="auto"/>
                <w:sz w:val="21"/>
                <w:szCs w:val="21"/>
              </w:rPr>
              <w:t>CPU</w:t>
            </w:r>
            <w:r>
              <w:rPr>
                <w:rFonts w:hint="eastAsia"/>
                <w:color w:val="auto"/>
                <w:sz w:val="21"/>
                <w:szCs w:val="21"/>
              </w:rPr>
              <w:t>核心数量：</w:t>
            </w:r>
            <w:r>
              <w:rPr>
                <w:color w:val="auto"/>
                <w:sz w:val="21"/>
                <w:szCs w:val="21"/>
              </w:rPr>
              <w:t>10</w:t>
            </w:r>
            <w:r>
              <w:rPr>
                <w:rFonts w:hint="eastAsia"/>
                <w:color w:val="auto"/>
                <w:sz w:val="21"/>
                <w:szCs w:val="21"/>
              </w:rPr>
              <w:t>核</w:t>
            </w:r>
            <w:r>
              <w:rPr>
                <w:color w:val="auto"/>
                <w:sz w:val="21"/>
                <w:szCs w:val="21"/>
              </w:rPr>
              <w:t>*20</w:t>
            </w:r>
            <w:r>
              <w:rPr>
                <w:rFonts w:hint="eastAsia"/>
                <w:color w:val="auto"/>
                <w:sz w:val="21"/>
                <w:szCs w:val="21"/>
              </w:rPr>
              <w:t>线程</w:t>
            </w:r>
          </w:p>
          <w:p w14:paraId="65785B70">
            <w:pPr>
              <w:snapToGrid w:val="0"/>
              <w:ind w:left="28" w:leftChars="10" w:right="14" w:rightChars="5"/>
              <w:jc w:val="left"/>
              <w:rPr>
                <w:color w:val="auto"/>
                <w:sz w:val="21"/>
                <w:szCs w:val="21"/>
              </w:rPr>
            </w:pPr>
            <w:r>
              <w:rPr>
                <w:color w:val="auto"/>
                <w:sz w:val="21"/>
                <w:szCs w:val="21"/>
              </w:rPr>
              <w:t>CPU</w:t>
            </w:r>
            <w:r>
              <w:rPr>
                <w:rFonts w:hint="eastAsia"/>
                <w:color w:val="auto"/>
                <w:sz w:val="21"/>
                <w:szCs w:val="21"/>
              </w:rPr>
              <w:t>数量：</w:t>
            </w:r>
            <w:r>
              <w:rPr>
                <w:color w:val="auto"/>
                <w:sz w:val="21"/>
                <w:szCs w:val="21"/>
              </w:rPr>
              <w:t>2</w:t>
            </w:r>
            <w:r>
              <w:rPr>
                <w:rFonts w:hint="eastAsia"/>
                <w:color w:val="auto"/>
                <w:sz w:val="21"/>
                <w:szCs w:val="21"/>
              </w:rPr>
              <w:t>个，三级缓存：</w:t>
            </w:r>
            <w:r>
              <w:rPr>
                <w:color w:val="auto"/>
                <w:sz w:val="21"/>
                <w:szCs w:val="21"/>
              </w:rPr>
              <w:t>25MB</w:t>
            </w:r>
          </w:p>
        </w:tc>
      </w:tr>
      <w:tr w14:paraId="1B5395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76" w:type="pct"/>
            <w:tcMar>
              <w:top w:w="0" w:type="dxa"/>
              <w:left w:w="0" w:type="dxa"/>
              <w:right w:w="0" w:type="dxa"/>
            </w:tcMar>
            <w:vAlign w:val="center"/>
          </w:tcPr>
          <w:p w14:paraId="48122908">
            <w:pPr>
              <w:snapToGrid w:val="0"/>
              <w:jc w:val="center"/>
              <w:rPr>
                <w:color w:val="auto"/>
                <w:sz w:val="21"/>
                <w:szCs w:val="21"/>
              </w:rPr>
            </w:pPr>
            <w:r>
              <w:rPr>
                <w:rFonts w:hint="eastAsia"/>
                <w:color w:val="auto"/>
                <w:sz w:val="21"/>
                <w:szCs w:val="21"/>
              </w:rPr>
              <w:t>内存</w:t>
            </w:r>
          </w:p>
        </w:tc>
        <w:tc>
          <w:tcPr>
            <w:tcW w:w="3624" w:type="pct"/>
            <w:tcMar>
              <w:top w:w="0" w:type="dxa"/>
              <w:left w:w="0" w:type="dxa"/>
              <w:right w:w="0" w:type="dxa"/>
            </w:tcMar>
            <w:vAlign w:val="center"/>
          </w:tcPr>
          <w:p w14:paraId="7BBCF6C3">
            <w:pPr>
              <w:snapToGrid w:val="0"/>
              <w:ind w:left="28" w:leftChars="10" w:right="14" w:rightChars="5"/>
              <w:jc w:val="left"/>
              <w:rPr>
                <w:color w:val="auto"/>
                <w:sz w:val="21"/>
                <w:szCs w:val="21"/>
              </w:rPr>
            </w:pPr>
            <w:r>
              <w:rPr>
                <w:rFonts w:hint="eastAsia"/>
                <w:color w:val="auto"/>
                <w:sz w:val="21"/>
                <w:szCs w:val="21"/>
              </w:rPr>
              <w:t>类型：</w:t>
            </w:r>
            <w:r>
              <w:rPr>
                <w:color w:val="auto"/>
                <w:sz w:val="21"/>
                <w:szCs w:val="21"/>
              </w:rPr>
              <w:t xml:space="preserve">DDR4 ECC </w:t>
            </w:r>
            <w:r>
              <w:rPr>
                <w:rFonts w:hint="eastAsia"/>
                <w:color w:val="auto"/>
                <w:sz w:val="21"/>
                <w:szCs w:val="21"/>
              </w:rPr>
              <w:t>，内存容量：</w:t>
            </w:r>
            <w:r>
              <w:rPr>
                <w:color w:val="auto"/>
                <w:sz w:val="21"/>
                <w:szCs w:val="21"/>
              </w:rPr>
              <w:t>16GB</w:t>
            </w:r>
          </w:p>
        </w:tc>
      </w:tr>
      <w:tr w14:paraId="54984C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76" w:type="pct"/>
            <w:tcMar>
              <w:top w:w="0" w:type="dxa"/>
              <w:left w:w="0" w:type="dxa"/>
              <w:right w:w="0" w:type="dxa"/>
            </w:tcMar>
            <w:vAlign w:val="center"/>
          </w:tcPr>
          <w:p w14:paraId="70971596">
            <w:pPr>
              <w:snapToGrid w:val="0"/>
              <w:jc w:val="center"/>
              <w:rPr>
                <w:color w:val="auto"/>
                <w:sz w:val="21"/>
                <w:szCs w:val="21"/>
              </w:rPr>
            </w:pPr>
            <w:r>
              <w:rPr>
                <w:rFonts w:hint="eastAsia"/>
                <w:color w:val="auto"/>
                <w:sz w:val="21"/>
                <w:szCs w:val="21"/>
              </w:rPr>
              <w:t>存储</w:t>
            </w:r>
          </w:p>
        </w:tc>
        <w:tc>
          <w:tcPr>
            <w:tcW w:w="3624" w:type="pct"/>
            <w:tcMar>
              <w:top w:w="0" w:type="dxa"/>
              <w:left w:w="0" w:type="dxa"/>
              <w:right w:w="0" w:type="dxa"/>
            </w:tcMar>
            <w:vAlign w:val="center"/>
          </w:tcPr>
          <w:p w14:paraId="6F2409C9">
            <w:pPr>
              <w:snapToGrid w:val="0"/>
              <w:ind w:left="28" w:leftChars="10" w:right="14" w:rightChars="5"/>
              <w:jc w:val="left"/>
              <w:rPr>
                <w:color w:val="auto"/>
                <w:sz w:val="21"/>
                <w:szCs w:val="21"/>
              </w:rPr>
            </w:pPr>
            <w:r>
              <w:rPr>
                <w:rFonts w:hint="eastAsia"/>
                <w:color w:val="auto"/>
                <w:sz w:val="21"/>
                <w:szCs w:val="21"/>
              </w:rPr>
              <w:t>接口：</w:t>
            </w:r>
            <w:r>
              <w:rPr>
                <w:color w:val="auto"/>
                <w:sz w:val="21"/>
                <w:szCs w:val="21"/>
              </w:rPr>
              <w:t>SATA</w:t>
            </w:r>
            <w:r>
              <w:rPr>
                <w:rFonts w:hint="eastAsia"/>
                <w:color w:val="auto"/>
                <w:sz w:val="21"/>
                <w:szCs w:val="21"/>
              </w:rPr>
              <w:t>，容量：</w:t>
            </w:r>
            <w:r>
              <w:rPr>
                <w:color w:val="auto"/>
                <w:sz w:val="21"/>
                <w:szCs w:val="21"/>
              </w:rPr>
              <w:t xml:space="preserve">2TB*2 </w:t>
            </w:r>
          </w:p>
        </w:tc>
      </w:tr>
      <w:tr w14:paraId="2150E1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76" w:type="pct"/>
            <w:tcMar>
              <w:top w:w="0" w:type="dxa"/>
              <w:left w:w="0" w:type="dxa"/>
              <w:right w:w="0" w:type="dxa"/>
            </w:tcMar>
            <w:vAlign w:val="center"/>
          </w:tcPr>
          <w:p w14:paraId="71B1D9D6">
            <w:pPr>
              <w:snapToGrid w:val="0"/>
              <w:jc w:val="center"/>
              <w:rPr>
                <w:color w:val="auto"/>
                <w:sz w:val="21"/>
                <w:szCs w:val="21"/>
              </w:rPr>
            </w:pPr>
            <w:r>
              <w:rPr>
                <w:rFonts w:hint="eastAsia"/>
                <w:color w:val="auto"/>
                <w:sz w:val="21"/>
                <w:szCs w:val="21"/>
              </w:rPr>
              <w:t>光驱</w:t>
            </w:r>
          </w:p>
        </w:tc>
        <w:tc>
          <w:tcPr>
            <w:tcW w:w="3624" w:type="pct"/>
            <w:tcMar>
              <w:top w:w="0" w:type="dxa"/>
              <w:left w:w="0" w:type="dxa"/>
              <w:right w:w="0" w:type="dxa"/>
            </w:tcMar>
            <w:vAlign w:val="center"/>
          </w:tcPr>
          <w:p w14:paraId="4EFED57C">
            <w:pPr>
              <w:snapToGrid w:val="0"/>
              <w:ind w:left="28" w:leftChars="10" w:right="14" w:rightChars="5"/>
              <w:jc w:val="left"/>
              <w:rPr>
                <w:color w:val="auto"/>
                <w:sz w:val="21"/>
                <w:szCs w:val="21"/>
              </w:rPr>
            </w:pPr>
            <w:r>
              <w:rPr>
                <w:color w:val="auto"/>
                <w:sz w:val="21"/>
                <w:szCs w:val="21"/>
              </w:rPr>
              <w:t xml:space="preserve">DVD/CD-RW Combo </w:t>
            </w:r>
          </w:p>
        </w:tc>
      </w:tr>
      <w:tr w14:paraId="32CED3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76" w:type="pct"/>
            <w:tcMar>
              <w:top w:w="0" w:type="dxa"/>
              <w:left w:w="0" w:type="dxa"/>
              <w:right w:w="0" w:type="dxa"/>
            </w:tcMar>
            <w:vAlign w:val="center"/>
          </w:tcPr>
          <w:p w14:paraId="36F5EA19">
            <w:pPr>
              <w:snapToGrid w:val="0"/>
              <w:jc w:val="center"/>
              <w:rPr>
                <w:color w:val="auto"/>
                <w:sz w:val="21"/>
                <w:szCs w:val="21"/>
              </w:rPr>
            </w:pPr>
            <w:r>
              <w:rPr>
                <w:rFonts w:hint="eastAsia"/>
                <w:color w:val="auto"/>
                <w:sz w:val="21"/>
                <w:szCs w:val="21"/>
              </w:rPr>
              <w:t>网络</w:t>
            </w:r>
          </w:p>
        </w:tc>
        <w:tc>
          <w:tcPr>
            <w:tcW w:w="3624" w:type="pct"/>
            <w:tcMar>
              <w:top w:w="0" w:type="dxa"/>
              <w:left w:w="0" w:type="dxa"/>
              <w:right w:w="0" w:type="dxa"/>
            </w:tcMar>
            <w:vAlign w:val="center"/>
          </w:tcPr>
          <w:p w14:paraId="1322A2DE">
            <w:pPr>
              <w:snapToGrid w:val="0"/>
              <w:ind w:left="28" w:leftChars="10" w:right="14" w:rightChars="5"/>
              <w:jc w:val="left"/>
              <w:rPr>
                <w:color w:val="auto"/>
                <w:sz w:val="21"/>
                <w:szCs w:val="21"/>
              </w:rPr>
            </w:pPr>
            <w:r>
              <w:rPr>
                <w:rFonts w:hint="eastAsia"/>
                <w:color w:val="auto"/>
                <w:sz w:val="21"/>
                <w:szCs w:val="21"/>
              </w:rPr>
              <w:t>集成四千兆以太网接口</w:t>
            </w:r>
          </w:p>
        </w:tc>
      </w:tr>
      <w:tr w14:paraId="5E02EA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76" w:type="pct"/>
            <w:tcMar>
              <w:top w:w="0" w:type="dxa"/>
              <w:left w:w="0" w:type="dxa"/>
              <w:right w:w="0" w:type="dxa"/>
            </w:tcMar>
            <w:vAlign w:val="center"/>
          </w:tcPr>
          <w:p w14:paraId="439C4495">
            <w:pPr>
              <w:snapToGrid w:val="0"/>
              <w:jc w:val="center"/>
              <w:rPr>
                <w:color w:val="auto"/>
                <w:sz w:val="21"/>
                <w:szCs w:val="21"/>
              </w:rPr>
            </w:pPr>
            <w:r>
              <w:rPr>
                <w:rFonts w:hint="eastAsia"/>
                <w:color w:val="auto"/>
                <w:sz w:val="21"/>
                <w:szCs w:val="21"/>
              </w:rPr>
              <w:t>显卡</w:t>
            </w:r>
          </w:p>
        </w:tc>
        <w:tc>
          <w:tcPr>
            <w:tcW w:w="3624" w:type="pct"/>
            <w:tcMar>
              <w:top w:w="0" w:type="dxa"/>
              <w:left w:w="0" w:type="dxa"/>
              <w:right w:w="0" w:type="dxa"/>
            </w:tcMar>
            <w:vAlign w:val="center"/>
          </w:tcPr>
          <w:p w14:paraId="5CFFD7B4">
            <w:pPr>
              <w:snapToGrid w:val="0"/>
              <w:ind w:left="28" w:leftChars="10" w:right="14" w:rightChars="5"/>
              <w:jc w:val="left"/>
              <w:rPr>
                <w:color w:val="auto"/>
                <w:sz w:val="21"/>
                <w:szCs w:val="21"/>
              </w:rPr>
            </w:pPr>
            <w:r>
              <w:rPr>
                <w:rFonts w:hint="eastAsia"/>
                <w:color w:val="auto"/>
                <w:sz w:val="21"/>
                <w:szCs w:val="21"/>
              </w:rPr>
              <w:t>集成显卡</w:t>
            </w:r>
          </w:p>
        </w:tc>
      </w:tr>
      <w:tr w14:paraId="701350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76" w:type="pct"/>
            <w:tcMar>
              <w:top w:w="0" w:type="dxa"/>
              <w:left w:w="0" w:type="dxa"/>
              <w:right w:w="0" w:type="dxa"/>
            </w:tcMar>
            <w:vAlign w:val="center"/>
          </w:tcPr>
          <w:p w14:paraId="30EA6593">
            <w:pPr>
              <w:snapToGrid w:val="0"/>
              <w:jc w:val="center"/>
              <w:rPr>
                <w:color w:val="auto"/>
                <w:sz w:val="21"/>
                <w:szCs w:val="21"/>
              </w:rPr>
            </w:pPr>
            <w:r>
              <w:rPr>
                <w:rFonts w:hint="eastAsia"/>
                <w:color w:val="auto"/>
                <w:sz w:val="21"/>
                <w:szCs w:val="21"/>
              </w:rPr>
              <w:t>接口类型</w:t>
            </w:r>
          </w:p>
        </w:tc>
        <w:tc>
          <w:tcPr>
            <w:tcW w:w="3624" w:type="pct"/>
            <w:tcMar>
              <w:top w:w="0" w:type="dxa"/>
              <w:left w:w="0" w:type="dxa"/>
              <w:right w:w="0" w:type="dxa"/>
            </w:tcMar>
            <w:vAlign w:val="center"/>
          </w:tcPr>
          <w:p w14:paraId="2B4779AB">
            <w:pPr>
              <w:snapToGrid w:val="0"/>
              <w:ind w:left="28" w:leftChars="10" w:right="14" w:rightChars="5"/>
              <w:jc w:val="left"/>
              <w:rPr>
                <w:color w:val="auto"/>
                <w:sz w:val="21"/>
                <w:szCs w:val="21"/>
              </w:rPr>
            </w:pPr>
            <w:r>
              <w:rPr>
                <w:color w:val="auto"/>
                <w:sz w:val="21"/>
                <w:szCs w:val="21"/>
              </w:rPr>
              <w:t>1</w:t>
            </w:r>
            <w:r>
              <w:rPr>
                <w:rFonts w:hint="eastAsia"/>
                <w:color w:val="auto"/>
                <w:sz w:val="21"/>
                <w:szCs w:val="21"/>
              </w:rPr>
              <w:t>个串口、</w:t>
            </w:r>
            <w:r>
              <w:rPr>
                <w:color w:val="auto"/>
                <w:sz w:val="21"/>
                <w:szCs w:val="21"/>
              </w:rPr>
              <w:t>4 RJ-45</w:t>
            </w:r>
            <w:r>
              <w:rPr>
                <w:rFonts w:hint="eastAsia"/>
                <w:color w:val="auto"/>
                <w:sz w:val="21"/>
                <w:szCs w:val="21"/>
              </w:rPr>
              <w:t>、键盘、鼠标、</w:t>
            </w:r>
            <w:r>
              <w:rPr>
                <w:color w:val="auto"/>
                <w:sz w:val="21"/>
                <w:szCs w:val="21"/>
              </w:rPr>
              <w:t>2 USB 2.0 （</w:t>
            </w:r>
            <w:r>
              <w:rPr>
                <w:rFonts w:hint="eastAsia"/>
                <w:color w:val="auto"/>
                <w:sz w:val="21"/>
                <w:szCs w:val="21"/>
              </w:rPr>
              <w:t>前面</w:t>
            </w:r>
            <w:r>
              <w:rPr>
                <w:color w:val="auto"/>
                <w:sz w:val="21"/>
                <w:szCs w:val="21"/>
              </w:rPr>
              <w:t>）</w:t>
            </w:r>
          </w:p>
        </w:tc>
      </w:tr>
      <w:tr w14:paraId="7A4894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76" w:type="pct"/>
            <w:tcMar>
              <w:top w:w="0" w:type="dxa"/>
              <w:left w:w="0" w:type="dxa"/>
              <w:right w:w="0" w:type="dxa"/>
            </w:tcMar>
            <w:vAlign w:val="center"/>
          </w:tcPr>
          <w:p w14:paraId="3008796B">
            <w:pPr>
              <w:snapToGrid w:val="0"/>
              <w:jc w:val="center"/>
              <w:rPr>
                <w:color w:val="auto"/>
                <w:sz w:val="21"/>
                <w:szCs w:val="21"/>
              </w:rPr>
            </w:pPr>
            <w:r>
              <w:rPr>
                <w:rFonts w:hint="eastAsia"/>
                <w:color w:val="auto"/>
                <w:sz w:val="21"/>
                <w:szCs w:val="21"/>
              </w:rPr>
              <w:t>功耗</w:t>
            </w:r>
          </w:p>
        </w:tc>
        <w:tc>
          <w:tcPr>
            <w:tcW w:w="3624" w:type="pct"/>
            <w:tcMar>
              <w:top w:w="0" w:type="dxa"/>
              <w:left w:w="0" w:type="dxa"/>
              <w:right w:w="0" w:type="dxa"/>
            </w:tcMar>
            <w:vAlign w:val="center"/>
          </w:tcPr>
          <w:p w14:paraId="5026C461">
            <w:pPr>
              <w:snapToGrid w:val="0"/>
              <w:ind w:left="28" w:leftChars="10" w:right="14" w:rightChars="5"/>
              <w:jc w:val="left"/>
              <w:rPr>
                <w:color w:val="auto"/>
                <w:sz w:val="21"/>
                <w:szCs w:val="21"/>
              </w:rPr>
            </w:pPr>
            <w:r>
              <w:rPr>
                <w:rFonts w:hint="eastAsia"/>
                <w:color w:val="auto"/>
                <w:sz w:val="21"/>
                <w:szCs w:val="21"/>
              </w:rPr>
              <w:t>交流</w:t>
            </w:r>
            <w:r>
              <w:rPr>
                <w:color w:val="auto"/>
                <w:sz w:val="21"/>
                <w:szCs w:val="21"/>
              </w:rPr>
              <w:t>220V</w:t>
            </w:r>
            <w:r>
              <w:rPr>
                <w:rFonts w:hint="eastAsia"/>
                <w:color w:val="auto"/>
                <w:sz w:val="21"/>
                <w:szCs w:val="21"/>
              </w:rPr>
              <w:t>，不大于</w:t>
            </w:r>
            <w:r>
              <w:rPr>
                <w:color w:val="auto"/>
                <w:sz w:val="21"/>
                <w:szCs w:val="21"/>
              </w:rPr>
              <w:t>750W</w:t>
            </w:r>
          </w:p>
        </w:tc>
      </w:tr>
    </w:tbl>
    <w:p w14:paraId="4D6890FB">
      <w:pPr>
        <w:spacing w:before="120"/>
        <w:ind w:firstLine="422" w:firstLineChars="200"/>
        <w:rPr>
          <w:rFonts w:hint="eastAsia" w:hAnsi="宋体"/>
          <w:b/>
          <w:bCs/>
          <w:color w:val="auto"/>
          <w:sz w:val="21"/>
          <w:szCs w:val="21"/>
        </w:rPr>
      </w:pPr>
      <w:r>
        <w:rPr>
          <w:rFonts w:hint="eastAsia"/>
          <w:b/>
          <w:bCs/>
          <w:color w:val="auto"/>
          <w:sz w:val="21"/>
          <w:szCs w:val="21"/>
        </w:rPr>
        <w:t>6.2</w:t>
      </w:r>
      <w:r>
        <w:rPr>
          <w:b/>
          <w:bCs/>
          <w:color w:val="auto"/>
          <w:sz w:val="21"/>
          <w:szCs w:val="21"/>
        </w:rPr>
        <w:t xml:space="preserve">.3  </w:t>
      </w:r>
      <w:r>
        <w:rPr>
          <w:rFonts w:hint="eastAsia" w:hAnsi="宋体"/>
          <w:b/>
          <w:bCs/>
          <w:color w:val="auto"/>
          <w:sz w:val="21"/>
          <w:szCs w:val="21"/>
        </w:rPr>
        <w:t>信道机</w:t>
      </w:r>
    </w:p>
    <w:p w14:paraId="3F8ECDEB">
      <w:pPr>
        <w:ind w:firstLine="420" w:firstLineChars="200"/>
        <w:rPr>
          <w:color w:val="auto"/>
          <w:sz w:val="21"/>
          <w:szCs w:val="21"/>
        </w:rPr>
      </w:pPr>
      <w:r>
        <w:rPr>
          <w:rFonts w:hint="eastAsia"/>
          <w:color w:val="auto"/>
          <w:sz w:val="21"/>
          <w:szCs w:val="21"/>
        </w:rPr>
        <w:t>信道机采用</w:t>
      </w:r>
      <w:r>
        <w:rPr>
          <w:color w:val="auto"/>
          <w:sz w:val="21"/>
          <w:szCs w:val="21"/>
        </w:rPr>
        <w:t>DMR</w:t>
      </w:r>
      <w:r>
        <w:rPr>
          <w:rFonts w:hint="eastAsia"/>
          <w:color w:val="auto"/>
          <w:sz w:val="21"/>
          <w:szCs w:val="21"/>
        </w:rPr>
        <w:t>数字中继台。信道机提供系统所需的数字无线信道，完成</w:t>
      </w:r>
      <w:r>
        <w:rPr>
          <w:color w:val="auto"/>
          <w:sz w:val="21"/>
          <w:szCs w:val="21"/>
        </w:rPr>
        <w:t>DMR</w:t>
      </w:r>
      <w:r>
        <w:rPr>
          <w:rFonts w:hint="eastAsia"/>
          <w:color w:val="auto"/>
          <w:sz w:val="21"/>
          <w:szCs w:val="21"/>
        </w:rPr>
        <w:t>语音和数据的空中接续、转发，以及系统互联控制等功能。无线行车及沿线施工防护通信信道机的收发信机为</w:t>
      </w:r>
      <w:r>
        <w:rPr>
          <w:color w:val="auto"/>
          <w:sz w:val="21"/>
          <w:szCs w:val="21"/>
        </w:rPr>
        <w:t>12.5KHz</w:t>
      </w:r>
      <w:r>
        <w:rPr>
          <w:rFonts w:hint="eastAsia"/>
          <w:color w:val="auto"/>
          <w:sz w:val="21"/>
          <w:szCs w:val="21"/>
        </w:rPr>
        <w:t>频率间隔，每台设备提供</w:t>
      </w:r>
      <w:r>
        <w:rPr>
          <w:color w:val="auto"/>
          <w:sz w:val="21"/>
          <w:szCs w:val="21"/>
        </w:rPr>
        <w:t>1</w:t>
      </w:r>
      <w:r>
        <w:rPr>
          <w:rFonts w:hint="eastAsia"/>
          <w:color w:val="auto"/>
          <w:sz w:val="21"/>
          <w:szCs w:val="21"/>
        </w:rPr>
        <w:t>个信道，必须具备同频转发增强功能。功能要求：</w:t>
      </w:r>
    </w:p>
    <w:p w14:paraId="647E76F4">
      <w:pPr>
        <w:ind w:firstLine="420" w:firstLineChars="200"/>
        <w:rPr>
          <w:color w:val="auto"/>
          <w:sz w:val="21"/>
          <w:szCs w:val="21"/>
        </w:rPr>
      </w:pPr>
      <w:r>
        <w:rPr>
          <w:rFonts w:hint="eastAsia"/>
          <w:color w:val="auto"/>
          <w:sz w:val="21"/>
          <w:szCs w:val="21"/>
        </w:rPr>
        <w:t>（</w:t>
      </w:r>
      <w:r>
        <w:rPr>
          <w:color w:val="auto"/>
          <w:sz w:val="21"/>
          <w:szCs w:val="21"/>
        </w:rPr>
        <w:t>1</w:t>
      </w:r>
      <w:r>
        <w:rPr>
          <w:rFonts w:hint="eastAsia"/>
          <w:color w:val="auto"/>
          <w:sz w:val="21"/>
          <w:szCs w:val="21"/>
        </w:rPr>
        <w:t>）具有网络接口和</w:t>
      </w:r>
      <w:r>
        <w:rPr>
          <w:color w:val="auto"/>
          <w:sz w:val="21"/>
          <w:szCs w:val="21"/>
        </w:rPr>
        <w:t>USB</w:t>
      </w:r>
      <w:r>
        <w:rPr>
          <w:rFonts w:hint="eastAsia"/>
          <w:color w:val="auto"/>
          <w:sz w:val="21"/>
          <w:szCs w:val="21"/>
        </w:rPr>
        <w:t>接口支持第三方软件供应商开发调度软件实现数据</w:t>
      </w:r>
      <w:r>
        <w:rPr>
          <w:color w:val="auto"/>
          <w:sz w:val="21"/>
          <w:szCs w:val="21"/>
        </w:rPr>
        <w:t>/</w:t>
      </w:r>
      <w:r>
        <w:rPr>
          <w:rFonts w:hint="eastAsia"/>
          <w:color w:val="auto"/>
          <w:sz w:val="21"/>
          <w:szCs w:val="21"/>
        </w:rPr>
        <w:t>短信</w:t>
      </w:r>
      <w:r>
        <w:rPr>
          <w:color w:val="auto"/>
          <w:sz w:val="21"/>
          <w:szCs w:val="21"/>
        </w:rPr>
        <w:t>/GPS/</w:t>
      </w:r>
      <w:r>
        <w:rPr>
          <w:rFonts w:hint="eastAsia"/>
          <w:color w:val="auto"/>
          <w:sz w:val="21"/>
          <w:szCs w:val="21"/>
        </w:rPr>
        <w:t>北斗等应用；</w:t>
      </w:r>
    </w:p>
    <w:p w14:paraId="62A64C86">
      <w:pPr>
        <w:ind w:firstLine="420" w:firstLineChars="200"/>
        <w:rPr>
          <w:color w:val="auto"/>
          <w:sz w:val="21"/>
          <w:szCs w:val="21"/>
        </w:rPr>
      </w:pPr>
      <w:r>
        <w:rPr>
          <w:rFonts w:hint="eastAsia"/>
          <w:color w:val="auto"/>
          <w:sz w:val="21"/>
          <w:szCs w:val="21"/>
        </w:rPr>
        <w:t>（</w:t>
      </w:r>
      <w:r>
        <w:rPr>
          <w:color w:val="auto"/>
          <w:sz w:val="21"/>
          <w:szCs w:val="21"/>
        </w:rPr>
        <w:t>2</w:t>
      </w:r>
      <w:r>
        <w:rPr>
          <w:rFonts w:hint="eastAsia"/>
          <w:color w:val="auto"/>
          <w:sz w:val="21"/>
          <w:szCs w:val="21"/>
        </w:rPr>
        <w:t>）支持双机热备份：当主机出现故障时自动切换到备用机工作；</w:t>
      </w:r>
    </w:p>
    <w:p w14:paraId="20D2A160">
      <w:pPr>
        <w:ind w:firstLine="420" w:firstLineChars="200"/>
        <w:rPr>
          <w:color w:val="auto"/>
          <w:sz w:val="21"/>
          <w:szCs w:val="21"/>
        </w:rPr>
      </w:pPr>
      <w:r>
        <w:rPr>
          <w:rFonts w:hint="eastAsia"/>
          <w:color w:val="auto"/>
          <w:sz w:val="21"/>
          <w:szCs w:val="21"/>
        </w:rPr>
        <w:t>（</w:t>
      </w:r>
      <w:r>
        <w:rPr>
          <w:color w:val="auto"/>
          <w:sz w:val="21"/>
          <w:szCs w:val="21"/>
        </w:rPr>
        <w:t>3</w:t>
      </w:r>
      <w:r>
        <w:rPr>
          <w:rFonts w:hint="eastAsia"/>
          <w:color w:val="auto"/>
          <w:sz w:val="21"/>
          <w:szCs w:val="21"/>
        </w:rPr>
        <w:t>）支持远程诊断和控制软件</w:t>
      </w:r>
      <w:r>
        <w:rPr>
          <w:color w:val="auto"/>
          <w:sz w:val="21"/>
          <w:szCs w:val="21"/>
        </w:rPr>
        <w:t>RDAC</w:t>
      </w:r>
      <w:r>
        <w:rPr>
          <w:rFonts w:hint="eastAsia"/>
          <w:color w:val="auto"/>
          <w:sz w:val="21"/>
          <w:szCs w:val="21"/>
        </w:rPr>
        <w:t>，可以实现中继台远程监控；</w:t>
      </w:r>
    </w:p>
    <w:p w14:paraId="4B859A8B">
      <w:pPr>
        <w:ind w:firstLine="420" w:firstLineChars="200"/>
        <w:rPr>
          <w:color w:val="auto"/>
          <w:sz w:val="21"/>
          <w:szCs w:val="21"/>
        </w:rPr>
      </w:pPr>
      <w:r>
        <w:rPr>
          <w:rFonts w:hint="eastAsia"/>
          <w:color w:val="auto"/>
          <w:sz w:val="21"/>
          <w:szCs w:val="21"/>
        </w:rPr>
        <w:t>（</w:t>
      </w:r>
      <w:r>
        <w:rPr>
          <w:color w:val="auto"/>
          <w:sz w:val="21"/>
          <w:szCs w:val="21"/>
        </w:rPr>
        <w:t>4</w:t>
      </w:r>
      <w:r>
        <w:rPr>
          <w:rFonts w:hint="eastAsia"/>
          <w:color w:val="auto"/>
          <w:sz w:val="21"/>
          <w:szCs w:val="21"/>
        </w:rPr>
        <w:t>）支持第三方内置双工器。</w:t>
      </w:r>
    </w:p>
    <w:p w14:paraId="5F86A8F3">
      <w:pPr>
        <w:ind w:firstLine="420" w:firstLineChars="200"/>
        <w:rPr>
          <w:color w:val="auto"/>
          <w:sz w:val="21"/>
          <w:szCs w:val="21"/>
        </w:rPr>
      </w:pPr>
      <w:r>
        <w:rPr>
          <w:rFonts w:hint="eastAsia"/>
          <w:color w:val="auto"/>
          <w:sz w:val="21"/>
          <w:szCs w:val="21"/>
        </w:rPr>
        <w:t>信道机技术指标不低于下表的要求：</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301"/>
        <w:gridCol w:w="6025"/>
      </w:tblGrid>
      <w:tr w14:paraId="0B3B94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382" w:type="pct"/>
            <w:tcMar>
              <w:top w:w="0" w:type="dxa"/>
              <w:left w:w="0" w:type="dxa"/>
              <w:right w:w="0" w:type="dxa"/>
            </w:tcMar>
            <w:vAlign w:val="center"/>
          </w:tcPr>
          <w:p w14:paraId="4C0C660B">
            <w:pPr>
              <w:snapToGrid w:val="0"/>
              <w:jc w:val="center"/>
              <w:rPr>
                <w:color w:val="auto"/>
                <w:sz w:val="21"/>
                <w:szCs w:val="21"/>
              </w:rPr>
            </w:pPr>
            <w:r>
              <w:rPr>
                <w:rFonts w:hint="eastAsia"/>
                <w:color w:val="auto"/>
                <w:sz w:val="21"/>
                <w:szCs w:val="21"/>
              </w:rPr>
              <w:t>一般规格</w:t>
            </w:r>
          </w:p>
        </w:tc>
        <w:tc>
          <w:tcPr>
            <w:tcW w:w="3618" w:type="pct"/>
            <w:tcMar>
              <w:top w:w="0" w:type="dxa"/>
              <w:left w:w="0" w:type="dxa"/>
              <w:right w:w="0" w:type="dxa"/>
            </w:tcMar>
            <w:vAlign w:val="center"/>
          </w:tcPr>
          <w:p w14:paraId="12B37FD4">
            <w:pPr>
              <w:snapToGrid w:val="0"/>
              <w:ind w:left="56" w:leftChars="20" w:right="56" w:rightChars="20"/>
              <w:jc w:val="left"/>
              <w:rPr>
                <w:color w:val="auto"/>
                <w:sz w:val="21"/>
                <w:szCs w:val="21"/>
              </w:rPr>
            </w:pPr>
            <w:r>
              <w:rPr>
                <w:rFonts w:hint="eastAsia"/>
                <w:color w:val="auto"/>
                <w:sz w:val="21"/>
                <w:szCs w:val="21"/>
              </w:rPr>
              <w:t>UHF</w:t>
            </w:r>
          </w:p>
        </w:tc>
      </w:tr>
      <w:tr w14:paraId="013EE2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07C08E59">
            <w:pPr>
              <w:snapToGrid w:val="0"/>
              <w:jc w:val="center"/>
              <w:rPr>
                <w:rFonts w:hint="eastAsia" w:hAnsi="宋体"/>
                <w:color w:val="auto"/>
                <w:sz w:val="21"/>
                <w:szCs w:val="21"/>
              </w:rPr>
            </w:pPr>
            <w:r>
              <w:rPr>
                <w:rFonts w:hint="eastAsia" w:hAnsi="宋体"/>
                <w:color w:val="auto"/>
                <w:sz w:val="21"/>
                <w:szCs w:val="21"/>
              </w:rPr>
              <w:t>频率范围（MHz）</w:t>
            </w:r>
          </w:p>
        </w:tc>
        <w:tc>
          <w:tcPr>
            <w:tcW w:w="3618" w:type="pct"/>
            <w:tcMar>
              <w:top w:w="0" w:type="dxa"/>
              <w:left w:w="0" w:type="dxa"/>
              <w:right w:w="0" w:type="dxa"/>
            </w:tcMar>
            <w:vAlign w:val="center"/>
          </w:tcPr>
          <w:p w14:paraId="01219ADE">
            <w:pPr>
              <w:snapToGrid w:val="0"/>
              <w:ind w:left="56" w:leftChars="20" w:right="56" w:rightChars="20"/>
              <w:jc w:val="left"/>
              <w:rPr>
                <w:rFonts w:hint="eastAsia" w:hAnsi="宋体"/>
                <w:color w:val="auto"/>
                <w:sz w:val="21"/>
                <w:szCs w:val="21"/>
              </w:rPr>
            </w:pPr>
            <w:r>
              <w:rPr>
                <w:rFonts w:hint="eastAsia" w:hAnsi="宋体"/>
                <w:color w:val="auto"/>
                <w:sz w:val="21"/>
                <w:szCs w:val="21"/>
              </w:rPr>
              <w:t>400-470</w:t>
            </w:r>
          </w:p>
        </w:tc>
      </w:tr>
      <w:tr w14:paraId="29B5AE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64808C9E">
            <w:pPr>
              <w:snapToGrid w:val="0"/>
              <w:jc w:val="center"/>
              <w:rPr>
                <w:rFonts w:hint="eastAsia" w:hAnsi="宋体"/>
                <w:color w:val="auto"/>
                <w:sz w:val="21"/>
                <w:szCs w:val="21"/>
              </w:rPr>
            </w:pPr>
            <w:r>
              <w:rPr>
                <w:rFonts w:hint="eastAsia" w:hAnsi="宋体"/>
                <w:color w:val="auto"/>
                <w:sz w:val="21"/>
                <w:szCs w:val="21"/>
              </w:rPr>
              <w:t>信道容量</w:t>
            </w:r>
          </w:p>
        </w:tc>
        <w:tc>
          <w:tcPr>
            <w:tcW w:w="3618" w:type="pct"/>
            <w:tcMar>
              <w:top w:w="0" w:type="dxa"/>
              <w:left w:w="0" w:type="dxa"/>
              <w:right w:w="0" w:type="dxa"/>
            </w:tcMar>
            <w:vAlign w:val="center"/>
          </w:tcPr>
          <w:p w14:paraId="329F70C3">
            <w:pPr>
              <w:snapToGrid w:val="0"/>
              <w:ind w:left="56" w:leftChars="20" w:right="56" w:rightChars="20"/>
              <w:jc w:val="left"/>
              <w:rPr>
                <w:rFonts w:hint="eastAsia" w:hAnsi="宋体"/>
                <w:color w:val="auto"/>
                <w:sz w:val="21"/>
                <w:szCs w:val="21"/>
              </w:rPr>
            </w:pPr>
            <w:r>
              <w:rPr>
                <w:rFonts w:hint="eastAsia" w:hAnsi="宋体"/>
                <w:color w:val="auto"/>
                <w:sz w:val="21"/>
                <w:szCs w:val="21"/>
              </w:rPr>
              <w:t>64</w:t>
            </w:r>
          </w:p>
        </w:tc>
      </w:tr>
      <w:tr w14:paraId="4D0BB2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39F521AC">
            <w:pPr>
              <w:snapToGrid w:val="0"/>
              <w:jc w:val="center"/>
              <w:rPr>
                <w:rFonts w:hint="eastAsia" w:hAnsi="宋体"/>
                <w:color w:val="auto"/>
                <w:sz w:val="21"/>
                <w:szCs w:val="21"/>
              </w:rPr>
            </w:pPr>
            <w:r>
              <w:rPr>
                <w:rFonts w:hint="eastAsia" w:hAnsi="宋体"/>
                <w:color w:val="auto"/>
                <w:sz w:val="21"/>
                <w:szCs w:val="21"/>
              </w:rPr>
              <w:t>RF输出功率（瓦）</w:t>
            </w:r>
          </w:p>
        </w:tc>
        <w:tc>
          <w:tcPr>
            <w:tcW w:w="3618" w:type="pct"/>
            <w:tcMar>
              <w:top w:w="0" w:type="dxa"/>
              <w:left w:w="0" w:type="dxa"/>
              <w:right w:w="0" w:type="dxa"/>
            </w:tcMar>
            <w:vAlign w:val="center"/>
          </w:tcPr>
          <w:p w14:paraId="0C1998E8">
            <w:pPr>
              <w:snapToGrid w:val="0"/>
              <w:ind w:left="56" w:leftChars="20" w:right="56" w:rightChars="20"/>
              <w:jc w:val="left"/>
              <w:rPr>
                <w:rFonts w:hint="eastAsia" w:hAnsi="宋体"/>
                <w:color w:val="auto"/>
                <w:sz w:val="21"/>
                <w:szCs w:val="21"/>
              </w:rPr>
            </w:pPr>
            <w:r>
              <w:rPr>
                <w:rFonts w:hint="eastAsia" w:hAnsi="宋体"/>
                <w:color w:val="auto"/>
                <w:sz w:val="21"/>
                <w:szCs w:val="21"/>
              </w:rPr>
              <w:t>1-50W</w:t>
            </w:r>
          </w:p>
        </w:tc>
      </w:tr>
      <w:tr w14:paraId="645881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54C9F27E">
            <w:pPr>
              <w:snapToGrid w:val="0"/>
              <w:jc w:val="center"/>
              <w:rPr>
                <w:rFonts w:hint="eastAsia" w:hAnsi="宋体"/>
                <w:color w:val="auto"/>
                <w:sz w:val="21"/>
                <w:szCs w:val="21"/>
              </w:rPr>
            </w:pPr>
            <w:r>
              <w:rPr>
                <w:rFonts w:hint="eastAsia" w:hAnsi="宋体"/>
                <w:color w:val="auto"/>
                <w:sz w:val="21"/>
                <w:szCs w:val="21"/>
              </w:rPr>
              <w:t>输入电压</w:t>
            </w:r>
          </w:p>
        </w:tc>
        <w:tc>
          <w:tcPr>
            <w:tcW w:w="3618" w:type="pct"/>
            <w:tcMar>
              <w:top w:w="0" w:type="dxa"/>
              <w:left w:w="0" w:type="dxa"/>
              <w:right w:w="0" w:type="dxa"/>
            </w:tcMar>
            <w:vAlign w:val="center"/>
          </w:tcPr>
          <w:p w14:paraId="6268AA42">
            <w:pPr>
              <w:snapToGrid w:val="0"/>
              <w:ind w:left="56" w:leftChars="20" w:right="56" w:rightChars="20"/>
              <w:jc w:val="left"/>
              <w:rPr>
                <w:rFonts w:hint="eastAsia" w:hAnsi="宋体"/>
                <w:color w:val="auto"/>
                <w:sz w:val="21"/>
                <w:szCs w:val="21"/>
              </w:rPr>
            </w:pPr>
            <w:r>
              <w:rPr>
                <w:rFonts w:hint="eastAsia" w:hAnsi="宋体"/>
                <w:color w:val="auto"/>
                <w:sz w:val="21"/>
                <w:szCs w:val="21"/>
              </w:rPr>
              <w:t>交流：100</w:t>
            </w:r>
            <w:r>
              <w:rPr>
                <w:rFonts w:hint="eastAsia" w:ascii="宋体" w:hAnsi="宋体"/>
                <w:color w:val="auto"/>
                <w:sz w:val="21"/>
                <w:szCs w:val="21"/>
              </w:rPr>
              <w:t>～</w:t>
            </w:r>
            <w:r>
              <w:rPr>
                <w:rFonts w:hint="eastAsia" w:hAnsi="宋体"/>
                <w:color w:val="auto"/>
                <w:sz w:val="21"/>
                <w:szCs w:val="21"/>
              </w:rPr>
              <w:t>240VAC；直流：11-14.4VDC</w:t>
            </w:r>
          </w:p>
        </w:tc>
      </w:tr>
      <w:tr w14:paraId="4856C7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3274235E">
            <w:pPr>
              <w:snapToGrid w:val="0"/>
              <w:jc w:val="center"/>
              <w:rPr>
                <w:rFonts w:hint="eastAsia" w:hAnsi="宋体"/>
                <w:color w:val="auto"/>
                <w:sz w:val="21"/>
                <w:szCs w:val="21"/>
              </w:rPr>
            </w:pPr>
            <w:r>
              <w:rPr>
                <w:rFonts w:hint="eastAsia" w:hAnsi="宋体"/>
                <w:color w:val="auto"/>
                <w:sz w:val="21"/>
                <w:szCs w:val="21"/>
              </w:rPr>
              <w:t>待机电流</w:t>
            </w:r>
          </w:p>
        </w:tc>
        <w:tc>
          <w:tcPr>
            <w:tcW w:w="3618" w:type="pct"/>
            <w:tcMar>
              <w:top w:w="0" w:type="dxa"/>
              <w:left w:w="0" w:type="dxa"/>
              <w:right w:w="0" w:type="dxa"/>
            </w:tcMar>
            <w:vAlign w:val="center"/>
          </w:tcPr>
          <w:p w14:paraId="2C7D8C3D">
            <w:pPr>
              <w:snapToGrid w:val="0"/>
              <w:ind w:left="56" w:leftChars="20" w:right="56" w:rightChars="20"/>
              <w:jc w:val="left"/>
              <w:rPr>
                <w:rFonts w:hint="eastAsia" w:hAnsi="宋体"/>
                <w:color w:val="auto"/>
                <w:sz w:val="21"/>
                <w:szCs w:val="21"/>
              </w:rPr>
            </w:pPr>
            <w:r>
              <w:rPr>
                <w:rFonts w:hint="eastAsia" w:hAnsi="宋体"/>
                <w:color w:val="auto"/>
                <w:sz w:val="21"/>
                <w:szCs w:val="21"/>
              </w:rPr>
              <w:t>交流：0.25/0.18A（AC）；直流：0.7A（VDC）</w:t>
            </w:r>
          </w:p>
          <w:p w14:paraId="6779D7C0">
            <w:pPr>
              <w:snapToGrid w:val="0"/>
              <w:ind w:left="56" w:leftChars="20" w:right="56" w:rightChars="20"/>
              <w:jc w:val="left"/>
              <w:rPr>
                <w:rFonts w:hint="eastAsia" w:hAnsi="宋体"/>
                <w:color w:val="auto"/>
                <w:sz w:val="21"/>
                <w:szCs w:val="21"/>
              </w:rPr>
            </w:pPr>
            <w:r>
              <w:rPr>
                <w:rFonts w:hint="eastAsia" w:hAnsi="宋体"/>
                <w:color w:val="auto"/>
                <w:sz w:val="21"/>
                <w:szCs w:val="21"/>
              </w:rPr>
              <w:t>发射：4A（100VAC），1.8A（240VAC）</w:t>
            </w:r>
          </w:p>
        </w:tc>
      </w:tr>
      <w:tr w14:paraId="1AAC0B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44324E27">
            <w:pPr>
              <w:snapToGrid w:val="0"/>
              <w:jc w:val="center"/>
              <w:rPr>
                <w:rFonts w:hint="eastAsia" w:hAnsi="宋体"/>
                <w:color w:val="auto"/>
                <w:sz w:val="21"/>
                <w:szCs w:val="21"/>
              </w:rPr>
            </w:pPr>
            <w:r>
              <w:rPr>
                <w:rFonts w:hint="eastAsia" w:hAnsi="宋体"/>
                <w:color w:val="auto"/>
                <w:sz w:val="21"/>
                <w:szCs w:val="21"/>
              </w:rPr>
              <w:t>发射电流</w:t>
            </w:r>
          </w:p>
        </w:tc>
        <w:tc>
          <w:tcPr>
            <w:tcW w:w="3618" w:type="pct"/>
            <w:tcMar>
              <w:top w:w="0" w:type="dxa"/>
              <w:left w:w="0" w:type="dxa"/>
              <w:right w:w="0" w:type="dxa"/>
            </w:tcMar>
            <w:vAlign w:val="center"/>
          </w:tcPr>
          <w:p w14:paraId="58ED1784">
            <w:pPr>
              <w:snapToGrid w:val="0"/>
              <w:ind w:left="56" w:leftChars="20" w:right="56" w:rightChars="20"/>
              <w:jc w:val="left"/>
              <w:rPr>
                <w:rFonts w:hint="eastAsia" w:hAnsi="宋体"/>
                <w:color w:val="auto"/>
                <w:sz w:val="21"/>
                <w:szCs w:val="21"/>
              </w:rPr>
            </w:pPr>
            <w:r>
              <w:rPr>
                <w:rFonts w:hint="eastAsia" w:hAnsi="宋体"/>
                <w:color w:val="auto"/>
                <w:sz w:val="21"/>
                <w:szCs w:val="21"/>
              </w:rPr>
              <w:t>交流：0.9A/240VAC,1.5A/110VAC；直流：9.5A</w:t>
            </w:r>
          </w:p>
        </w:tc>
      </w:tr>
      <w:tr w14:paraId="255ECB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5546EFCF">
            <w:pPr>
              <w:snapToGrid w:val="0"/>
              <w:jc w:val="center"/>
              <w:rPr>
                <w:rFonts w:hint="eastAsia" w:hAnsi="宋体"/>
                <w:color w:val="auto"/>
                <w:sz w:val="21"/>
                <w:szCs w:val="21"/>
              </w:rPr>
            </w:pPr>
            <w:r>
              <w:rPr>
                <w:rFonts w:hint="eastAsia" w:hAnsi="宋体"/>
                <w:color w:val="auto"/>
                <w:sz w:val="21"/>
                <w:szCs w:val="21"/>
              </w:rPr>
              <w:t>工作温度范围</w:t>
            </w:r>
          </w:p>
        </w:tc>
        <w:tc>
          <w:tcPr>
            <w:tcW w:w="3618" w:type="pct"/>
            <w:tcMar>
              <w:top w:w="0" w:type="dxa"/>
              <w:left w:w="0" w:type="dxa"/>
              <w:right w:w="0" w:type="dxa"/>
            </w:tcMar>
            <w:vAlign w:val="center"/>
          </w:tcPr>
          <w:p w14:paraId="1D6ACD9D">
            <w:pPr>
              <w:snapToGrid w:val="0"/>
              <w:ind w:left="56" w:leftChars="20" w:right="56" w:rightChars="20"/>
              <w:jc w:val="left"/>
              <w:rPr>
                <w:rFonts w:hint="eastAsia" w:hAnsi="宋体"/>
                <w:color w:val="auto"/>
                <w:sz w:val="21"/>
                <w:szCs w:val="21"/>
              </w:rPr>
            </w:pPr>
            <w:r>
              <w:rPr>
                <w:rFonts w:hint="eastAsia" w:hAnsi="宋体"/>
                <w:color w:val="auto"/>
                <w:sz w:val="21"/>
                <w:szCs w:val="21"/>
              </w:rPr>
              <w:t>-30°C到 +60°C</w:t>
            </w:r>
          </w:p>
        </w:tc>
      </w:tr>
      <w:tr w14:paraId="4F8746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40B9F07D">
            <w:pPr>
              <w:snapToGrid w:val="0"/>
              <w:jc w:val="center"/>
              <w:rPr>
                <w:rFonts w:hint="eastAsia" w:hAnsi="宋体"/>
                <w:color w:val="auto"/>
                <w:sz w:val="21"/>
                <w:szCs w:val="21"/>
              </w:rPr>
            </w:pPr>
            <w:r>
              <w:rPr>
                <w:rFonts w:hint="eastAsia" w:hAnsi="宋体"/>
                <w:color w:val="auto"/>
                <w:sz w:val="21"/>
                <w:szCs w:val="21"/>
              </w:rPr>
              <w:t>工作湿度</w:t>
            </w:r>
          </w:p>
        </w:tc>
        <w:tc>
          <w:tcPr>
            <w:tcW w:w="3618" w:type="pct"/>
            <w:tcMar>
              <w:top w:w="0" w:type="dxa"/>
              <w:left w:w="0" w:type="dxa"/>
              <w:right w:w="0" w:type="dxa"/>
            </w:tcMar>
            <w:vAlign w:val="center"/>
          </w:tcPr>
          <w:p w14:paraId="384BD06A">
            <w:pPr>
              <w:snapToGrid w:val="0"/>
              <w:ind w:left="56" w:leftChars="20" w:right="56" w:rightChars="20"/>
              <w:jc w:val="left"/>
              <w:rPr>
                <w:rFonts w:hint="eastAsia" w:hAnsi="宋体"/>
                <w:color w:val="auto"/>
                <w:sz w:val="21"/>
                <w:szCs w:val="21"/>
              </w:rPr>
            </w:pPr>
            <w:r>
              <w:rPr>
                <w:rFonts w:hint="eastAsia" w:hAnsi="宋体"/>
                <w:color w:val="auto"/>
                <w:sz w:val="21"/>
                <w:szCs w:val="21"/>
              </w:rPr>
              <w:t>95%相对湿度，50°C不结露</w:t>
            </w:r>
          </w:p>
        </w:tc>
      </w:tr>
      <w:tr w14:paraId="362A71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13AE4DD6">
            <w:pPr>
              <w:snapToGrid w:val="0"/>
              <w:jc w:val="center"/>
              <w:rPr>
                <w:rFonts w:hint="eastAsia" w:hAnsi="宋体"/>
                <w:color w:val="auto"/>
                <w:sz w:val="21"/>
                <w:szCs w:val="21"/>
              </w:rPr>
            </w:pPr>
            <w:r>
              <w:rPr>
                <w:rFonts w:hint="eastAsia" w:hAnsi="宋体"/>
                <w:color w:val="auto"/>
                <w:sz w:val="21"/>
                <w:szCs w:val="21"/>
              </w:rPr>
              <w:t>最大工作周期</w:t>
            </w:r>
          </w:p>
        </w:tc>
        <w:tc>
          <w:tcPr>
            <w:tcW w:w="3618" w:type="pct"/>
            <w:tcMar>
              <w:top w:w="0" w:type="dxa"/>
              <w:left w:w="0" w:type="dxa"/>
              <w:right w:w="0" w:type="dxa"/>
            </w:tcMar>
            <w:vAlign w:val="center"/>
          </w:tcPr>
          <w:p w14:paraId="20ECC411">
            <w:pPr>
              <w:snapToGrid w:val="0"/>
              <w:ind w:left="56" w:leftChars="20" w:right="56" w:rightChars="20"/>
              <w:jc w:val="left"/>
              <w:rPr>
                <w:rFonts w:hint="eastAsia" w:hAnsi="宋体"/>
                <w:color w:val="auto"/>
                <w:sz w:val="21"/>
                <w:szCs w:val="21"/>
              </w:rPr>
            </w:pPr>
            <w:r>
              <w:rPr>
                <w:rFonts w:hint="eastAsia" w:hAnsi="宋体"/>
                <w:color w:val="auto"/>
                <w:sz w:val="21"/>
                <w:szCs w:val="21"/>
              </w:rPr>
              <w:t>100%</w:t>
            </w:r>
          </w:p>
        </w:tc>
      </w:tr>
      <w:tr w14:paraId="6A25C1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15618251">
            <w:pPr>
              <w:snapToGrid w:val="0"/>
              <w:jc w:val="center"/>
              <w:rPr>
                <w:rFonts w:hint="eastAsia" w:hAnsi="宋体"/>
                <w:color w:val="auto"/>
                <w:sz w:val="21"/>
                <w:szCs w:val="21"/>
              </w:rPr>
            </w:pPr>
            <w:r>
              <w:rPr>
                <w:rFonts w:hint="eastAsia" w:hAnsi="宋体"/>
                <w:color w:val="auto"/>
                <w:sz w:val="21"/>
                <w:szCs w:val="21"/>
              </w:rPr>
              <w:t>FCC说明</w:t>
            </w:r>
          </w:p>
        </w:tc>
        <w:tc>
          <w:tcPr>
            <w:tcW w:w="3618" w:type="pct"/>
            <w:tcMar>
              <w:top w:w="0" w:type="dxa"/>
              <w:left w:w="0" w:type="dxa"/>
              <w:right w:w="0" w:type="dxa"/>
            </w:tcMar>
            <w:vAlign w:val="center"/>
          </w:tcPr>
          <w:p w14:paraId="58D12282">
            <w:pPr>
              <w:snapToGrid w:val="0"/>
              <w:ind w:left="56" w:leftChars="20" w:right="56" w:rightChars="20"/>
              <w:jc w:val="left"/>
              <w:rPr>
                <w:rFonts w:hint="eastAsia" w:hAnsi="宋体"/>
                <w:color w:val="auto"/>
                <w:sz w:val="21"/>
                <w:szCs w:val="21"/>
              </w:rPr>
            </w:pPr>
            <w:r>
              <w:rPr>
                <w:rFonts w:hint="eastAsia" w:hAnsi="宋体"/>
                <w:color w:val="auto"/>
                <w:sz w:val="21"/>
                <w:szCs w:val="21"/>
              </w:rPr>
              <w:t>ABZ99FT4096</w:t>
            </w:r>
          </w:p>
        </w:tc>
      </w:tr>
      <w:tr w14:paraId="0ED5C0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4571918D">
            <w:pPr>
              <w:snapToGrid w:val="0"/>
              <w:jc w:val="center"/>
              <w:rPr>
                <w:rFonts w:hint="eastAsia" w:hAnsi="宋体"/>
                <w:color w:val="auto"/>
                <w:sz w:val="21"/>
                <w:szCs w:val="21"/>
              </w:rPr>
            </w:pPr>
            <w:r>
              <w:rPr>
                <w:rFonts w:hint="eastAsia" w:hAnsi="宋体"/>
                <w:color w:val="auto"/>
                <w:sz w:val="21"/>
                <w:szCs w:val="21"/>
              </w:rPr>
              <w:t>IC说明</w:t>
            </w:r>
          </w:p>
        </w:tc>
        <w:tc>
          <w:tcPr>
            <w:tcW w:w="3618" w:type="pct"/>
            <w:tcMar>
              <w:top w:w="0" w:type="dxa"/>
              <w:left w:w="0" w:type="dxa"/>
              <w:right w:w="0" w:type="dxa"/>
            </w:tcMar>
            <w:vAlign w:val="center"/>
          </w:tcPr>
          <w:p w14:paraId="30E9A7C3">
            <w:pPr>
              <w:snapToGrid w:val="0"/>
              <w:ind w:left="56" w:leftChars="20" w:right="56" w:rightChars="20"/>
              <w:jc w:val="left"/>
              <w:rPr>
                <w:rFonts w:hint="eastAsia" w:hAnsi="宋体"/>
                <w:color w:val="auto"/>
                <w:sz w:val="21"/>
                <w:szCs w:val="21"/>
              </w:rPr>
            </w:pPr>
            <w:r>
              <w:rPr>
                <w:rFonts w:hint="eastAsia" w:hAnsi="宋体"/>
                <w:color w:val="auto"/>
                <w:sz w:val="21"/>
                <w:szCs w:val="21"/>
              </w:rPr>
              <w:t>109AB-99FT4096</w:t>
            </w:r>
          </w:p>
        </w:tc>
      </w:tr>
      <w:tr w14:paraId="013196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3933A9E0">
            <w:pPr>
              <w:snapToGrid w:val="0"/>
              <w:jc w:val="center"/>
              <w:rPr>
                <w:rFonts w:hint="eastAsia" w:hAnsi="宋体"/>
                <w:color w:val="auto"/>
                <w:sz w:val="21"/>
                <w:szCs w:val="21"/>
              </w:rPr>
            </w:pPr>
            <w:r>
              <w:rPr>
                <w:rFonts w:hint="eastAsia" w:hAnsi="宋体"/>
                <w:color w:val="auto"/>
                <w:sz w:val="21"/>
                <w:szCs w:val="21"/>
              </w:rPr>
              <w:t>数字声码器类型</w:t>
            </w:r>
          </w:p>
        </w:tc>
        <w:tc>
          <w:tcPr>
            <w:tcW w:w="3618" w:type="pct"/>
            <w:tcMar>
              <w:top w:w="0" w:type="dxa"/>
              <w:left w:w="0" w:type="dxa"/>
              <w:right w:w="0" w:type="dxa"/>
            </w:tcMar>
            <w:vAlign w:val="center"/>
          </w:tcPr>
          <w:p w14:paraId="0E08C31B">
            <w:pPr>
              <w:snapToGrid w:val="0"/>
              <w:ind w:left="56" w:leftChars="20" w:right="56" w:rightChars="20"/>
              <w:jc w:val="left"/>
              <w:rPr>
                <w:rFonts w:hint="eastAsia" w:hAnsi="宋体"/>
                <w:color w:val="auto"/>
                <w:sz w:val="21"/>
                <w:szCs w:val="21"/>
              </w:rPr>
            </w:pPr>
            <w:r>
              <w:rPr>
                <w:rFonts w:hint="eastAsia" w:hAnsi="宋体"/>
                <w:color w:val="auto"/>
                <w:sz w:val="21"/>
                <w:szCs w:val="21"/>
              </w:rPr>
              <w:t>AMBE+2TM</w:t>
            </w:r>
          </w:p>
        </w:tc>
      </w:tr>
      <w:tr w14:paraId="63B93E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665F4030">
            <w:pPr>
              <w:snapToGrid w:val="0"/>
              <w:jc w:val="center"/>
              <w:rPr>
                <w:rFonts w:hint="eastAsia" w:hAnsi="宋体"/>
                <w:color w:val="auto"/>
                <w:sz w:val="21"/>
                <w:szCs w:val="21"/>
              </w:rPr>
            </w:pPr>
            <w:r>
              <w:rPr>
                <w:rFonts w:hint="eastAsia" w:hAnsi="宋体"/>
                <w:color w:val="auto"/>
                <w:sz w:val="21"/>
                <w:szCs w:val="21"/>
              </w:rPr>
              <w:t>电池充电器容量</w:t>
            </w:r>
          </w:p>
        </w:tc>
        <w:tc>
          <w:tcPr>
            <w:tcW w:w="3618" w:type="pct"/>
            <w:tcMar>
              <w:top w:w="0" w:type="dxa"/>
              <w:left w:w="0" w:type="dxa"/>
              <w:right w:w="0" w:type="dxa"/>
            </w:tcMar>
            <w:vAlign w:val="center"/>
          </w:tcPr>
          <w:p w14:paraId="6F2E7130">
            <w:pPr>
              <w:snapToGrid w:val="0"/>
              <w:ind w:left="56" w:leftChars="20" w:right="56" w:rightChars="20"/>
              <w:jc w:val="left"/>
              <w:rPr>
                <w:rFonts w:hint="eastAsia" w:hAnsi="宋体"/>
                <w:color w:val="auto"/>
                <w:sz w:val="21"/>
                <w:szCs w:val="21"/>
              </w:rPr>
            </w:pPr>
            <w:r>
              <w:rPr>
                <w:rFonts w:hint="eastAsia" w:hAnsi="宋体"/>
                <w:color w:val="auto"/>
                <w:sz w:val="21"/>
                <w:szCs w:val="21"/>
              </w:rPr>
              <w:t>12V，3A</w:t>
            </w:r>
          </w:p>
        </w:tc>
      </w:tr>
      <w:tr w14:paraId="3A955E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549F2B95">
            <w:pPr>
              <w:snapToGrid w:val="0"/>
              <w:jc w:val="center"/>
              <w:rPr>
                <w:rFonts w:hint="eastAsia" w:hAnsi="宋体"/>
                <w:color w:val="auto"/>
                <w:sz w:val="21"/>
                <w:szCs w:val="21"/>
              </w:rPr>
            </w:pPr>
            <w:r>
              <w:rPr>
                <w:rFonts w:hint="eastAsia" w:hAnsi="宋体"/>
                <w:color w:val="auto"/>
                <w:sz w:val="21"/>
                <w:szCs w:val="21"/>
              </w:rPr>
              <w:t>支持系统类型</w:t>
            </w:r>
          </w:p>
        </w:tc>
        <w:tc>
          <w:tcPr>
            <w:tcW w:w="3618" w:type="pct"/>
            <w:tcMar>
              <w:top w:w="0" w:type="dxa"/>
              <w:left w:w="0" w:type="dxa"/>
              <w:right w:w="0" w:type="dxa"/>
            </w:tcMar>
            <w:vAlign w:val="center"/>
          </w:tcPr>
          <w:p w14:paraId="7957DBBA">
            <w:pPr>
              <w:snapToGrid w:val="0"/>
              <w:ind w:left="56" w:leftChars="20" w:right="56" w:rightChars="20"/>
              <w:jc w:val="left"/>
              <w:rPr>
                <w:rFonts w:hint="eastAsia" w:hAnsi="宋体"/>
                <w:color w:val="auto"/>
                <w:sz w:val="21"/>
                <w:szCs w:val="21"/>
              </w:rPr>
            </w:pPr>
            <w:r>
              <w:rPr>
                <w:rFonts w:hint="eastAsia" w:hAnsi="宋体"/>
                <w:color w:val="auto"/>
                <w:sz w:val="21"/>
                <w:szCs w:val="21"/>
              </w:rPr>
              <w:t>数字常规系统、IP基站互联系统、智能信道共享系统、多基站智能信道共享系统、模拟常规系统和MPT1327.</w:t>
            </w:r>
          </w:p>
        </w:tc>
      </w:tr>
      <w:tr w14:paraId="672A94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00" w:type="pct"/>
            <w:gridSpan w:val="2"/>
            <w:tcMar>
              <w:top w:w="0" w:type="dxa"/>
              <w:left w:w="0" w:type="dxa"/>
              <w:right w:w="0" w:type="dxa"/>
            </w:tcMar>
            <w:vAlign w:val="center"/>
          </w:tcPr>
          <w:p w14:paraId="0F4F1022">
            <w:pPr>
              <w:snapToGrid w:val="0"/>
              <w:ind w:left="56" w:leftChars="20" w:right="56" w:rightChars="20"/>
              <w:jc w:val="center"/>
              <w:rPr>
                <w:rFonts w:hint="eastAsia" w:hAnsi="宋体"/>
                <w:color w:val="auto"/>
                <w:sz w:val="21"/>
                <w:szCs w:val="21"/>
              </w:rPr>
            </w:pPr>
            <w:r>
              <w:rPr>
                <w:rFonts w:hint="eastAsia" w:hAnsi="宋体"/>
                <w:color w:val="auto"/>
                <w:sz w:val="21"/>
                <w:szCs w:val="21"/>
              </w:rPr>
              <w:t>接收机</w:t>
            </w:r>
          </w:p>
        </w:tc>
      </w:tr>
      <w:tr w14:paraId="366042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678692BF">
            <w:pPr>
              <w:snapToGrid w:val="0"/>
              <w:jc w:val="center"/>
              <w:rPr>
                <w:rFonts w:hint="eastAsia" w:hAnsi="宋体"/>
                <w:color w:val="auto"/>
                <w:sz w:val="21"/>
                <w:szCs w:val="21"/>
              </w:rPr>
            </w:pPr>
            <w:r>
              <w:rPr>
                <w:rFonts w:hint="eastAsia" w:hAnsi="宋体"/>
                <w:color w:val="auto"/>
                <w:sz w:val="21"/>
                <w:szCs w:val="21"/>
              </w:rPr>
              <w:t>频率（MHz）</w:t>
            </w:r>
          </w:p>
        </w:tc>
        <w:tc>
          <w:tcPr>
            <w:tcW w:w="3618" w:type="pct"/>
            <w:tcMar>
              <w:top w:w="0" w:type="dxa"/>
              <w:left w:w="0" w:type="dxa"/>
              <w:right w:w="0" w:type="dxa"/>
            </w:tcMar>
            <w:vAlign w:val="center"/>
          </w:tcPr>
          <w:p w14:paraId="30B8A35F">
            <w:pPr>
              <w:snapToGrid w:val="0"/>
              <w:ind w:left="56" w:leftChars="20" w:right="56" w:rightChars="20"/>
              <w:jc w:val="left"/>
              <w:rPr>
                <w:rFonts w:hint="eastAsia" w:hAnsi="宋体"/>
                <w:color w:val="auto"/>
                <w:sz w:val="21"/>
                <w:szCs w:val="21"/>
              </w:rPr>
            </w:pPr>
            <w:r>
              <w:rPr>
                <w:rFonts w:hint="eastAsia" w:hAnsi="宋体"/>
                <w:color w:val="auto"/>
                <w:sz w:val="21"/>
                <w:szCs w:val="21"/>
              </w:rPr>
              <w:t>400-470</w:t>
            </w:r>
          </w:p>
        </w:tc>
      </w:tr>
      <w:tr w14:paraId="338CB0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25DADA82">
            <w:pPr>
              <w:snapToGrid w:val="0"/>
              <w:jc w:val="center"/>
              <w:rPr>
                <w:rFonts w:hint="eastAsia" w:hAnsi="宋体"/>
                <w:color w:val="auto"/>
                <w:sz w:val="21"/>
                <w:szCs w:val="21"/>
              </w:rPr>
            </w:pPr>
            <w:r>
              <w:rPr>
                <w:rFonts w:hint="eastAsia" w:hAnsi="宋体"/>
                <w:color w:val="auto"/>
                <w:sz w:val="21"/>
                <w:szCs w:val="21"/>
              </w:rPr>
              <w:t>信道间隔</w:t>
            </w:r>
          </w:p>
        </w:tc>
        <w:tc>
          <w:tcPr>
            <w:tcW w:w="3618" w:type="pct"/>
            <w:tcMar>
              <w:top w:w="0" w:type="dxa"/>
              <w:left w:w="0" w:type="dxa"/>
              <w:right w:w="0" w:type="dxa"/>
            </w:tcMar>
            <w:vAlign w:val="center"/>
          </w:tcPr>
          <w:p w14:paraId="57FD82B8">
            <w:pPr>
              <w:snapToGrid w:val="0"/>
              <w:ind w:left="56" w:leftChars="20" w:right="56" w:rightChars="20"/>
              <w:jc w:val="left"/>
              <w:rPr>
                <w:rFonts w:hint="eastAsia" w:hAnsi="宋体"/>
                <w:color w:val="auto"/>
                <w:sz w:val="21"/>
                <w:szCs w:val="21"/>
              </w:rPr>
            </w:pPr>
            <w:r>
              <w:rPr>
                <w:rFonts w:hint="eastAsia" w:hAnsi="宋体"/>
                <w:color w:val="auto"/>
                <w:sz w:val="21"/>
                <w:szCs w:val="21"/>
              </w:rPr>
              <w:t>12.5/25kHz</w:t>
            </w:r>
          </w:p>
        </w:tc>
      </w:tr>
      <w:tr w14:paraId="79D69F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37562890">
            <w:pPr>
              <w:snapToGrid w:val="0"/>
              <w:jc w:val="center"/>
              <w:rPr>
                <w:rFonts w:hint="eastAsia" w:hAnsi="宋体"/>
                <w:color w:val="auto"/>
                <w:sz w:val="21"/>
                <w:szCs w:val="21"/>
              </w:rPr>
            </w:pPr>
            <w:r>
              <w:rPr>
                <w:rFonts w:hint="eastAsia" w:hAnsi="宋体"/>
                <w:color w:val="auto"/>
                <w:sz w:val="21"/>
                <w:szCs w:val="21"/>
              </w:rPr>
              <w:t>频率稳定度</w:t>
            </w:r>
          </w:p>
        </w:tc>
        <w:tc>
          <w:tcPr>
            <w:tcW w:w="3618" w:type="pct"/>
            <w:tcMar>
              <w:top w:w="0" w:type="dxa"/>
              <w:left w:w="0" w:type="dxa"/>
              <w:right w:w="0" w:type="dxa"/>
            </w:tcMar>
            <w:vAlign w:val="center"/>
          </w:tcPr>
          <w:p w14:paraId="7F5EFB2B">
            <w:pPr>
              <w:snapToGrid w:val="0"/>
              <w:ind w:left="56" w:leftChars="20" w:right="56" w:rightChars="20"/>
              <w:jc w:val="left"/>
              <w:rPr>
                <w:rFonts w:hint="eastAsia" w:hAnsi="宋体"/>
                <w:color w:val="auto"/>
                <w:sz w:val="21"/>
                <w:szCs w:val="21"/>
              </w:rPr>
            </w:pPr>
            <w:r>
              <w:rPr>
                <w:rFonts w:hint="eastAsia" w:hAnsi="宋体"/>
                <w:color w:val="auto"/>
                <w:sz w:val="21"/>
                <w:szCs w:val="21"/>
              </w:rPr>
              <w:t>0.5ppm</w:t>
            </w:r>
          </w:p>
        </w:tc>
      </w:tr>
      <w:tr w14:paraId="7CA69D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39A5533F">
            <w:pPr>
              <w:snapToGrid w:val="0"/>
              <w:jc w:val="center"/>
              <w:rPr>
                <w:rFonts w:hint="eastAsia" w:hAnsi="宋体"/>
                <w:color w:val="auto"/>
                <w:sz w:val="21"/>
                <w:szCs w:val="21"/>
              </w:rPr>
            </w:pPr>
            <w:r>
              <w:rPr>
                <w:rFonts w:hint="eastAsia" w:hAnsi="宋体"/>
                <w:color w:val="auto"/>
                <w:sz w:val="21"/>
                <w:szCs w:val="21"/>
              </w:rPr>
              <w:t>模拟灵敏度</w:t>
            </w:r>
          </w:p>
        </w:tc>
        <w:tc>
          <w:tcPr>
            <w:tcW w:w="3618" w:type="pct"/>
            <w:tcMar>
              <w:top w:w="0" w:type="dxa"/>
              <w:left w:w="0" w:type="dxa"/>
              <w:right w:w="0" w:type="dxa"/>
            </w:tcMar>
            <w:vAlign w:val="center"/>
          </w:tcPr>
          <w:p w14:paraId="16775FE5">
            <w:pPr>
              <w:snapToGrid w:val="0"/>
              <w:ind w:left="56" w:leftChars="20" w:right="56" w:rightChars="20"/>
              <w:jc w:val="left"/>
              <w:rPr>
                <w:rFonts w:hint="eastAsia" w:hAnsi="宋体"/>
                <w:color w:val="auto"/>
                <w:sz w:val="21"/>
                <w:szCs w:val="21"/>
              </w:rPr>
            </w:pPr>
            <w:r>
              <w:rPr>
                <w:rFonts w:hint="eastAsia" w:hAnsi="宋体"/>
                <w:color w:val="auto"/>
                <w:sz w:val="21"/>
                <w:szCs w:val="21"/>
              </w:rPr>
              <w:t xml:space="preserve">0.22uV（12dB SINAD）   </w:t>
            </w:r>
          </w:p>
        </w:tc>
      </w:tr>
      <w:tr w14:paraId="6154A3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1EE2B7F0">
            <w:pPr>
              <w:snapToGrid w:val="0"/>
              <w:jc w:val="center"/>
              <w:rPr>
                <w:rFonts w:hint="eastAsia" w:hAnsi="宋体"/>
                <w:color w:val="auto"/>
                <w:sz w:val="21"/>
                <w:szCs w:val="21"/>
              </w:rPr>
            </w:pPr>
            <w:r>
              <w:rPr>
                <w:rFonts w:hint="eastAsia" w:hAnsi="宋体"/>
                <w:color w:val="auto"/>
                <w:sz w:val="21"/>
                <w:szCs w:val="21"/>
              </w:rPr>
              <w:t>数字灵敏度</w:t>
            </w:r>
          </w:p>
        </w:tc>
        <w:tc>
          <w:tcPr>
            <w:tcW w:w="3618" w:type="pct"/>
            <w:tcMar>
              <w:top w:w="0" w:type="dxa"/>
              <w:left w:w="0" w:type="dxa"/>
              <w:right w:w="0" w:type="dxa"/>
            </w:tcMar>
            <w:vAlign w:val="center"/>
          </w:tcPr>
          <w:p w14:paraId="7AB7340C">
            <w:pPr>
              <w:snapToGrid w:val="0"/>
              <w:ind w:left="56" w:leftChars="20" w:right="56" w:rightChars="20"/>
              <w:jc w:val="left"/>
              <w:rPr>
                <w:rFonts w:hint="eastAsia" w:hAnsi="宋体"/>
                <w:color w:val="auto"/>
                <w:sz w:val="21"/>
                <w:szCs w:val="21"/>
              </w:rPr>
            </w:pPr>
            <w:r>
              <w:rPr>
                <w:rFonts w:hint="eastAsia" w:hAnsi="宋体"/>
                <w:color w:val="auto"/>
                <w:sz w:val="21"/>
                <w:szCs w:val="21"/>
              </w:rPr>
              <w:t>5% BER： 0.22uV</w:t>
            </w:r>
          </w:p>
        </w:tc>
      </w:tr>
      <w:tr w14:paraId="4F6FCF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07150C83">
            <w:pPr>
              <w:snapToGrid w:val="0"/>
              <w:jc w:val="center"/>
              <w:rPr>
                <w:rFonts w:hint="eastAsia" w:hAnsi="宋体"/>
                <w:color w:val="auto"/>
                <w:sz w:val="21"/>
                <w:szCs w:val="21"/>
              </w:rPr>
            </w:pPr>
            <w:r>
              <w:rPr>
                <w:rFonts w:hint="eastAsia" w:hAnsi="宋体"/>
                <w:color w:val="auto"/>
                <w:sz w:val="21"/>
                <w:szCs w:val="21"/>
              </w:rPr>
              <w:t>互调  TIA603D/ETSI</w:t>
            </w:r>
          </w:p>
        </w:tc>
        <w:tc>
          <w:tcPr>
            <w:tcW w:w="3618" w:type="pct"/>
            <w:tcMar>
              <w:top w:w="0" w:type="dxa"/>
              <w:left w:w="0" w:type="dxa"/>
              <w:right w:w="0" w:type="dxa"/>
            </w:tcMar>
            <w:vAlign w:val="center"/>
          </w:tcPr>
          <w:p w14:paraId="4D8DAE98">
            <w:pPr>
              <w:snapToGrid w:val="0"/>
              <w:ind w:left="56" w:leftChars="20" w:right="56" w:rightChars="20"/>
              <w:jc w:val="left"/>
              <w:rPr>
                <w:rFonts w:hint="eastAsia" w:hAnsi="宋体"/>
                <w:color w:val="auto"/>
                <w:sz w:val="21"/>
                <w:szCs w:val="21"/>
              </w:rPr>
            </w:pPr>
            <w:r>
              <w:rPr>
                <w:rFonts w:hint="eastAsia" w:hAnsi="宋体"/>
                <w:color w:val="auto"/>
                <w:sz w:val="21"/>
                <w:szCs w:val="21"/>
              </w:rPr>
              <w:t>73dB/82dB</w:t>
            </w:r>
          </w:p>
        </w:tc>
      </w:tr>
      <w:tr w14:paraId="5B23F1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0F6979D5">
            <w:pPr>
              <w:snapToGrid w:val="0"/>
              <w:jc w:val="center"/>
              <w:rPr>
                <w:rFonts w:hint="eastAsia" w:hAnsi="宋体"/>
                <w:color w:val="auto"/>
                <w:sz w:val="21"/>
                <w:szCs w:val="21"/>
              </w:rPr>
            </w:pPr>
            <w:r>
              <w:rPr>
                <w:rFonts w:hint="eastAsia" w:hAnsi="宋体"/>
                <w:color w:val="auto"/>
                <w:sz w:val="21"/>
                <w:szCs w:val="21"/>
              </w:rPr>
              <w:t>邻近信道选择性</w:t>
            </w:r>
          </w:p>
        </w:tc>
        <w:tc>
          <w:tcPr>
            <w:tcW w:w="3618" w:type="pct"/>
            <w:tcMar>
              <w:top w:w="0" w:type="dxa"/>
              <w:left w:w="0" w:type="dxa"/>
              <w:right w:w="0" w:type="dxa"/>
            </w:tcMar>
            <w:vAlign w:val="center"/>
          </w:tcPr>
          <w:p w14:paraId="5C73A23D">
            <w:pPr>
              <w:snapToGrid w:val="0"/>
              <w:ind w:left="56" w:leftChars="20" w:right="56" w:rightChars="20"/>
              <w:jc w:val="left"/>
              <w:rPr>
                <w:rFonts w:hint="eastAsia" w:hAnsi="宋体"/>
                <w:color w:val="auto"/>
                <w:sz w:val="21"/>
                <w:szCs w:val="21"/>
              </w:rPr>
            </w:pPr>
            <w:r>
              <w:rPr>
                <w:rFonts w:hint="eastAsia" w:hAnsi="宋体"/>
                <w:color w:val="auto"/>
                <w:sz w:val="21"/>
                <w:szCs w:val="21"/>
              </w:rPr>
              <w:t>55/80dB @ 12.5kHz   55/83dB @ 25kHz</w:t>
            </w:r>
          </w:p>
        </w:tc>
      </w:tr>
      <w:tr w14:paraId="04AEA8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0CF0BDD5">
            <w:pPr>
              <w:snapToGrid w:val="0"/>
              <w:jc w:val="center"/>
              <w:rPr>
                <w:rFonts w:hint="eastAsia" w:hAnsi="宋体"/>
                <w:color w:val="auto"/>
                <w:sz w:val="21"/>
                <w:szCs w:val="21"/>
              </w:rPr>
            </w:pPr>
            <w:r>
              <w:rPr>
                <w:rFonts w:hint="eastAsia" w:hAnsi="宋体"/>
                <w:color w:val="auto"/>
                <w:sz w:val="21"/>
                <w:szCs w:val="21"/>
              </w:rPr>
              <w:t>杂散抑制     TTIA603D/ETSI  ETS</w:t>
            </w:r>
          </w:p>
        </w:tc>
        <w:tc>
          <w:tcPr>
            <w:tcW w:w="3618" w:type="pct"/>
            <w:tcMar>
              <w:top w:w="0" w:type="dxa"/>
              <w:left w:w="0" w:type="dxa"/>
              <w:right w:w="0" w:type="dxa"/>
            </w:tcMar>
            <w:vAlign w:val="center"/>
          </w:tcPr>
          <w:p w14:paraId="0AAF5DD0">
            <w:pPr>
              <w:snapToGrid w:val="0"/>
              <w:ind w:left="56" w:leftChars="20" w:right="56" w:rightChars="20"/>
              <w:jc w:val="left"/>
              <w:rPr>
                <w:rFonts w:hint="eastAsia" w:hAnsi="宋体"/>
                <w:color w:val="auto"/>
                <w:sz w:val="21"/>
                <w:szCs w:val="21"/>
              </w:rPr>
            </w:pPr>
            <w:r>
              <w:rPr>
                <w:rFonts w:hint="eastAsia" w:hAnsi="宋体"/>
                <w:color w:val="auto"/>
                <w:sz w:val="21"/>
                <w:szCs w:val="21"/>
              </w:rPr>
              <w:t>90dB/95dB</w:t>
            </w:r>
          </w:p>
        </w:tc>
      </w:tr>
      <w:tr w14:paraId="664D94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3B7CD8CA">
            <w:pPr>
              <w:snapToGrid w:val="0"/>
              <w:jc w:val="center"/>
              <w:rPr>
                <w:rFonts w:hint="eastAsia" w:hAnsi="宋体"/>
                <w:color w:val="auto"/>
                <w:sz w:val="21"/>
                <w:szCs w:val="21"/>
              </w:rPr>
            </w:pPr>
            <w:r>
              <w:rPr>
                <w:rFonts w:hint="eastAsia" w:hAnsi="宋体"/>
                <w:color w:val="auto"/>
                <w:sz w:val="21"/>
                <w:szCs w:val="21"/>
              </w:rPr>
              <w:t>音频失真</w:t>
            </w:r>
          </w:p>
        </w:tc>
        <w:tc>
          <w:tcPr>
            <w:tcW w:w="3618" w:type="pct"/>
            <w:tcMar>
              <w:top w:w="0" w:type="dxa"/>
              <w:left w:w="0" w:type="dxa"/>
              <w:right w:w="0" w:type="dxa"/>
            </w:tcMar>
            <w:vAlign w:val="center"/>
          </w:tcPr>
          <w:p w14:paraId="3F95864A">
            <w:pPr>
              <w:snapToGrid w:val="0"/>
              <w:ind w:left="56" w:leftChars="20" w:right="56" w:rightChars="20"/>
              <w:jc w:val="left"/>
              <w:rPr>
                <w:rFonts w:hint="eastAsia" w:hAnsi="宋体"/>
                <w:color w:val="auto"/>
                <w:sz w:val="21"/>
                <w:szCs w:val="21"/>
              </w:rPr>
            </w:pPr>
            <w:r>
              <w:rPr>
                <w:rFonts w:hint="eastAsia" w:hAnsi="宋体"/>
                <w:color w:val="auto"/>
                <w:sz w:val="21"/>
                <w:szCs w:val="21"/>
              </w:rPr>
              <w:t>1%</w:t>
            </w:r>
          </w:p>
        </w:tc>
      </w:tr>
      <w:tr w14:paraId="3AEE91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494AE256">
            <w:pPr>
              <w:snapToGrid w:val="0"/>
              <w:jc w:val="center"/>
              <w:rPr>
                <w:rFonts w:hint="eastAsia" w:hAnsi="宋体"/>
                <w:color w:val="auto"/>
                <w:sz w:val="21"/>
                <w:szCs w:val="21"/>
              </w:rPr>
            </w:pPr>
            <w:r>
              <w:rPr>
                <w:rFonts w:hint="eastAsia" w:hAnsi="宋体"/>
                <w:color w:val="auto"/>
                <w:sz w:val="21"/>
                <w:szCs w:val="21"/>
              </w:rPr>
              <w:t>接收器噪声</w:t>
            </w:r>
          </w:p>
        </w:tc>
        <w:tc>
          <w:tcPr>
            <w:tcW w:w="3618" w:type="pct"/>
            <w:tcMar>
              <w:top w:w="0" w:type="dxa"/>
              <w:left w:w="0" w:type="dxa"/>
              <w:right w:w="0" w:type="dxa"/>
            </w:tcMar>
            <w:vAlign w:val="center"/>
          </w:tcPr>
          <w:p w14:paraId="58D9E9E3">
            <w:pPr>
              <w:snapToGrid w:val="0"/>
              <w:ind w:left="56" w:leftChars="20" w:right="56" w:rightChars="20"/>
              <w:jc w:val="left"/>
              <w:rPr>
                <w:rFonts w:hint="eastAsia" w:hAnsi="宋体"/>
                <w:color w:val="auto"/>
                <w:sz w:val="21"/>
                <w:szCs w:val="21"/>
              </w:rPr>
            </w:pPr>
            <w:r>
              <w:rPr>
                <w:rFonts w:hint="eastAsia" w:hAnsi="宋体"/>
                <w:color w:val="auto"/>
                <w:sz w:val="21"/>
                <w:szCs w:val="21"/>
              </w:rPr>
              <w:t>-45/-50dB</w:t>
            </w:r>
          </w:p>
        </w:tc>
      </w:tr>
      <w:tr w14:paraId="409879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00" w:type="pct"/>
            <w:gridSpan w:val="2"/>
            <w:tcMar>
              <w:top w:w="0" w:type="dxa"/>
              <w:left w:w="0" w:type="dxa"/>
              <w:right w:w="0" w:type="dxa"/>
            </w:tcMar>
            <w:vAlign w:val="center"/>
          </w:tcPr>
          <w:p w14:paraId="6D5DBFEB">
            <w:pPr>
              <w:snapToGrid w:val="0"/>
              <w:ind w:left="56" w:leftChars="20" w:right="56" w:rightChars="20"/>
              <w:jc w:val="center"/>
              <w:rPr>
                <w:rFonts w:hint="eastAsia" w:hAnsi="宋体"/>
                <w:color w:val="auto"/>
                <w:sz w:val="21"/>
                <w:szCs w:val="21"/>
              </w:rPr>
            </w:pPr>
            <w:r>
              <w:rPr>
                <w:rFonts w:hint="eastAsia" w:hAnsi="宋体"/>
                <w:color w:val="auto"/>
                <w:sz w:val="21"/>
                <w:szCs w:val="21"/>
              </w:rPr>
              <w:t>发射机</w:t>
            </w:r>
          </w:p>
        </w:tc>
      </w:tr>
      <w:tr w14:paraId="6D61E9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34898389">
            <w:pPr>
              <w:snapToGrid w:val="0"/>
              <w:jc w:val="center"/>
              <w:rPr>
                <w:rFonts w:hint="eastAsia" w:hAnsi="宋体"/>
                <w:color w:val="auto"/>
                <w:sz w:val="21"/>
                <w:szCs w:val="21"/>
              </w:rPr>
            </w:pPr>
            <w:r>
              <w:rPr>
                <w:rFonts w:hint="eastAsia" w:hAnsi="宋体"/>
                <w:color w:val="auto"/>
                <w:sz w:val="21"/>
                <w:szCs w:val="21"/>
              </w:rPr>
              <w:t>频率（MHz）</w:t>
            </w:r>
          </w:p>
        </w:tc>
        <w:tc>
          <w:tcPr>
            <w:tcW w:w="3618" w:type="pct"/>
            <w:tcMar>
              <w:top w:w="0" w:type="dxa"/>
              <w:left w:w="0" w:type="dxa"/>
              <w:right w:w="0" w:type="dxa"/>
            </w:tcMar>
            <w:vAlign w:val="center"/>
          </w:tcPr>
          <w:p w14:paraId="1A87F8D6">
            <w:pPr>
              <w:snapToGrid w:val="0"/>
              <w:ind w:left="56" w:leftChars="20" w:right="56" w:rightChars="20"/>
              <w:jc w:val="left"/>
              <w:rPr>
                <w:rFonts w:hint="eastAsia" w:hAnsi="宋体"/>
                <w:color w:val="auto"/>
                <w:sz w:val="21"/>
                <w:szCs w:val="21"/>
              </w:rPr>
            </w:pPr>
            <w:r>
              <w:rPr>
                <w:rFonts w:hint="eastAsia" w:hAnsi="宋体"/>
                <w:color w:val="auto"/>
                <w:sz w:val="21"/>
                <w:szCs w:val="21"/>
              </w:rPr>
              <w:t>400-470</w:t>
            </w:r>
          </w:p>
        </w:tc>
      </w:tr>
      <w:tr w14:paraId="13BF90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60592907">
            <w:pPr>
              <w:snapToGrid w:val="0"/>
              <w:jc w:val="center"/>
              <w:rPr>
                <w:rFonts w:hint="eastAsia" w:hAnsi="宋体"/>
                <w:color w:val="auto"/>
                <w:sz w:val="21"/>
                <w:szCs w:val="21"/>
              </w:rPr>
            </w:pPr>
            <w:r>
              <w:rPr>
                <w:rFonts w:hint="eastAsia" w:hAnsi="宋体"/>
                <w:color w:val="auto"/>
                <w:sz w:val="21"/>
                <w:szCs w:val="21"/>
              </w:rPr>
              <w:t>信道间隔</w:t>
            </w:r>
          </w:p>
        </w:tc>
        <w:tc>
          <w:tcPr>
            <w:tcW w:w="3618" w:type="pct"/>
            <w:tcMar>
              <w:top w:w="0" w:type="dxa"/>
              <w:left w:w="0" w:type="dxa"/>
              <w:right w:w="0" w:type="dxa"/>
            </w:tcMar>
            <w:vAlign w:val="center"/>
          </w:tcPr>
          <w:p w14:paraId="5787E741">
            <w:pPr>
              <w:snapToGrid w:val="0"/>
              <w:ind w:left="56" w:leftChars="20" w:right="56" w:rightChars="20"/>
              <w:jc w:val="left"/>
              <w:rPr>
                <w:rFonts w:hint="eastAsia" w:hAnsi="宋体"/>
                <w:color w:val="auto"/>
                <w:sz w:val="21"/>
                <w:szCs w:val="21"/>
              </w:rPr>
            </w:pPr>
            <w:r>
              <w:rPr>
                <w:rFonts w:hint="eastAsia" w:hAnsi="宋体"/>
                <w:color w:val="auto"/>
                <w:sz w:val="21"/>
                <w:szCs w:val="21"/>
              </w:rPr>
              <w:t>12.5kHz/25kHz</w:t>
            </w:r>
          </w:p>
        </w:tc>
      </w:tr>
      <w:tr w14:paraId="27FEBC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370A7626">
            <w:pPr>
              <w:snapToGrid w:val="0"/>
              <w:jc w:val="center"/>
              <w:rPr>
                <w:rFonts w:hint="eastAsia" w:hAnsi="宋体"/>
                <w:color w:val="auto"/>
                <w:sz w:val="21"/>
                <w:szCs w:val="21"/>
              </w:rPr>
            </w:pPr>
            <w:r>
              <w:rPr>
                <w:rFonts w:hint="eastAsia" w:hAnsi="宋体"/>
                <w:color w:val="auto"/>
                <w:sz w:val="21"/>
                <w:szCs w:val="21"/>
              </w:rPr>
              <w:t>频率稳定度</w:t>
            </w:r>
          </w:p>
        </w:tc>
        <w:tc>
          <w:tcPr>
            <w:tcW w:w="3618" w:type="pct"/>
            <w:tcMar>
              <w:top w:w="0" w:type="dxa"/>
              <w:left w:w="0" w:type="dxa"/>
              <w:right w:w="0" w:type="dxa"/>
            </w:tcMar>
            <w:vAlign w:val="center"/>
          </w:tcPr>
          <w:p w14:paraId="27634FF2">
            <w:pPr>
              <w:snapToGrid w:val="0"/>
              <w:ind w:left="56" w:leftChars="20" w:right="56" w:rightChars="20"/>
              <w:jc w:val="left"/>
              <w:rPr>
                <w:rFonts w:hint="eastAsia" w:hAnsi="宋体"/>
                <w:color w:val="auto"/>
                <w:sz w:val="21"/>
                <w:szCs w:val="21"/>
              </w:rPr>
            </w:pPr>
            <w:r>
              <w:rPr>
                <w:rFonts w:hint="eastAsia" w:hAnsi="宋体"/>
                <w:color w:val="auto"/>
                <w:sz w:val="21"/>
                <w:szCs w:val="21"/>
              </w:rPr>
              <w:t>0.5ppm</w:t>
            </w:r>
          </w:p>
        </w:tc>
      </w:tr>
      <w:tr w14:paraId="659E61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72A46FED">
            <w:pPr>
              <w:snapToGrid w:val="0"/>
              <w:jc w:val="center"/>
              <w:rPr>
                <w:rFonts w:hint="eastAsia" w:hAnsi="宋体"/>
                <w:color w:val="auto"/>
                <w:sz w:val="21"/>
                <w:szCs w:val="21"/>
              </w:rPr>
            </w:pPr>
            <w:r>
              <w:rPr>
                <w:rFonts w:hint="eastAsia" w:hAnsi="宋体"/>
                <w:color w:val="auto"/>
                <w:sz w:val="21"/>
                <w:szCs w:val="21"/>
              </w:rPr>
              <w:t>功率输出</w:t>
            </w:r>
          </w:p>
        </w:tc>
        <w:tc>
          <w:tcPr>
            <w:tcW w:w="3618" w:type="pct"/>
            <w:tcMar>
              <w:top w:w="0" w:type="dxa"/>
              <w:left w:w="0" w:type="dxa"/>
              <w:right w:w="0" w:type="dxa"/>
            </w:tcMar>
            <w:vAlign w:val="center"/>
          </w:tcPr>
          <w:p w14:paraId="2966BE47">
            <w:pPr>
              <w:snapToGrid w:val="0"/>
              <w:ind w:left="56" w:leftChars="20" w:right="56" w:rightChars="20"/>
              <w:jc w:val="left"/>
              <w:rPr>
                <w:rFonts w:hint="eastAsia" w:hAnsi="宋体"/>
                <w:color w:val="auto"/>
                <w:sz w:val="21"/>
                <w:szCs w:val="21"/>
              </w:rPr>
            </w:pPr>
            <w:r>
              <w:rPr>
                <w:rFonts w:hint="eastAsia" w:hAnsi="宋体"/>
                <w:color w:val="auto"/>
                <w:sz w:val="21"/>
                <w:szCs w:val="21"/>
              </w:rPr>
              <w:t>1-50W</w:t>
            </w:r>
          </w:p>
        </w:tc>
      </w:tr>
      <w:tr w14:paraId="737D62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081F29B9">
            <w:pPr>
              <w:snapToGrid w:val="0"/>
              <w:jc w:val="center"/>
              <w:rPr>
                <w:rFonts w:hint="eastAsia" w:hAnsi="宋体"/>
                <w:color w:val="auto"/>
                <w:sz w:val="21"/>
                <w:szCs w:val="21"/>
              </w:rPr>
            </w:pPr>
            <w:r>
              <w:rPr>
                <w:rFonts w:hint="eastAsia" w:hAnsi="宋体"/>
                <w:color w:val="auto"/>
                <w:sz w:val="21"/>
                <w:szCs w:val="21"/>
              </w:rPr>
              <w:t>最大工作周期</w:t>
            </w:r>
          </w:p>
        </w:tc>
        <w:tc>
          <w:tcPr>
            <w:tcW w:w="3618" w:type="pct"/>
            <w:tcMar>
              <w:top w:w="0" w:type="dxa"/>
              <w:left w:w="0" w:type="dxa"/>
              <w:right w:w="0" w:type="dxa"/>
            </w:tcMar>
            <w:vAlign w:val="center"/>
          </w:tcPr>
          <w:p w14:paraId="2E905E46">
            <w:pPr>
              <w:snapToGrid w:val="0"/>
              <w:ind w:left="56" w:leftChars="20" w:right="56" w:rightChars="20"/>
              <w:jc w:val="left"/>
              <w:rPr>
                <w:rFonts w:hint="eastAsia" w:hAnsi="宋体"/>
                <w:color w:val="auto"/>
                <w:sz w:val="21"/>
                <w:szCs w:val="21"/>
              </w:rPr>
            </w:pPr>
            <w:r>
              <w:rPr>
                <w:rFonts w:hint="eastAsia" w:hAnsi="宋体"/>
                <w:color w:val="auto"/>
                <w:sz w:val="21"/>
                <w:szCs w:val="21"/>
              </w:rPr>
              <w:t>100%</w:t>
            </w:r>
          </w:p>
        </w:tc>
      </w:tr>
      <w:tr w14:paraId="03F49D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2C395FE9">
            <w:pPr>
              <w:snapToGrid w:val="0"/>
              <w:jc w:val="center"/>
              <w:rPr>
                <w:rFonts w:hint="eastAsia" w:hAnsi="宋体"/>
                <w:color w:val="auto"/>
                <w:sz w:val="21"/>
                <w:szCs w:val="21"/>
              </w:rPr>
            </w:pPr>
            <w:r>
              <w:rPr>
                <w:rFonts w:hint="eastAsia" w:hAnsi="宋体"/>
                <w:color w:val="auto"/>
                <w:sz w:val="21"/>
                <w:szCs w:val="21"/>
              </w:rPr>
              <w:t>调制保真度（4FSK）</w:t>
            </w:r>
          </w:p>
        </w:tc>
        <w:tc>
          <w:tcPr>
            <w:tcW w:w="3618" w:type="pct"/>
            <w:tcMar>
              <w:top w:w="0" w:type="dxa"/>
              <w:left w:w="0" w:type="dxa"/>
              <w:right w:w="0" w:type="dxa"/>
            </w:tcMar>
            <w:vAlign w:val="center"/>
          </w:tcPr>
          <w:p w14:paraId="30212E29">
            <w:pPr>
              <w:snapToGrid w:val="0"/>
              <w:ind w:left="56" w:leftChars="20" w:right="56" w:rightChars="20"/>
              <w:jc w:val="left"/>
              <w:rPr>
                <w:rFonts w:hint="eastAsia" w:hAnsi="宋体"/>
                <w:color w:val="auto"/>
                <w:sz w:val="21"/>
                <w:szCs w:val="21"/>
              </w:rPr>
            </w:pPr>
            <w:r>
              <w:rPr>
                <w:rFonts w:hint="eastAsia" w:hAnsi="宋体"/>
                <w:color w:val="auto"/>
                <w:sz w:val="21"/>
                <w:szCs w:val="21"/>
              </w:rPr>
              <w:t>FSK Error 5%,FSK Magnitiude 1%</w:t>
            </w:r>
          </w:p>
        </w:tc>
      </w:tr>
      <w:tr w14:paraId="5C6634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5A486A30">
            <w:pPr>
              <w:snapToGrid w:val="0"/>
              <w:jc w:val="center"/>
              <w:rPr>
                <w:rFonts w:hint="eastAsia" w:hAnsi="宋体"/>
                <w:color w:val="auto"/>
                <w:sz w:val="21"/>
                <w:szCs w:val="21"/>
              </w:rPr>
            </w:pPr>
            <w:r>
              <w:rPr>
                <w:rFonts w:hint="eastAsia" w:hAnsi="宋体"/>
                <w:color w:val="auto"/>
                <w:sz w:val="21"/>
                <w:szCs w:val="21"/>
              </w:rPr>
              <w:t>传导杂散发射</w:t>
            </w:r>
          </w:p>
        </w:tc>
        <w:tc>
          <w:tcPr>
            <w:tcW w:w="3618" w:type="pct"/>
            <w:tcMar>
              <w:top w:w="0" w:type="dxa"/>
              <w:left w:w="0" w:type="dxa"/>
              <w:right w:w="0" w:type="dxa"/>
            </w:tcMar>
            <w:vAlign w:val="center"/>
          </w:tcPr>
          <w:p w14:paraId="271E9C7D">
            <w:pPr>
              <w:snapToGrid w:val="0"/>
              <w:ind w:left="56" w:leftChars="20" w:right="56" w:rightChars="20"/>
              <w:jc w:val="left"/>
              <w:rPr>
                <w:rFonts w:hint="eastAsia" w:hAnsi="宋体"/>
                <w:color w:val="auto"/>
                <w:sz w:val="21"/>
                <w:szCs w:val="21"/>
              </w:rPr>
            </w:pPr>
            <w:r>
              <w:rPr>
                <w:rFonts w:hint="eastAsia" w:hAnsi="宋体"/>
                <w:color w:val="auto"/>
                <w:sz w:val="21"/>
                <w:szCs w:val="21"/>
              </w:rPr>
              <w:t>-30dBm ＜ 1GHz       -36dBm ＞ 1GHz</w:t>
            </w:r>
          </w:p>
        </w:tc>
      </w:tr>
      <w:tr w14:paraId="1107FE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57EDDC6C">
            <w:pPr>
              <w:snapToGrid w:val="0"/>
              <w:jc w:val="center"/>
              <w:rPr>
                <w:rFonts w:hint="eastAsia" w:hAnsi="宋体"/>
                <w:color w:val="auto"/>
                <w:sz w:val="21"/>
                <w:szCs w:val="21"/>
              </w:rPr>
            </w:pPr>
            <w:r>
              <w:rPr>
                <w:rFonts w:hint="eastAsia" w:hAnsi="宋体"/>
                <w:color w:val="auto"/>
                <w:sz w:val="21"/>
                <w:szCs w:val="21"/>
              </w:rPr>
              <w:t>邻近信道功率</w:t>
            </w:r>
          </w:p>
        </w:tc>
        <w:tc>
          <w:tcPr>
            <w:tcW w:w="3618" w:type="pct"/>
            <w:tcMar>
              <w:top w:w="0" w:type="dxa"/>
              <w:left w:w="0" w:type="dxa"/>
              <w:right w:w="0" w:type="dxa"/>
            </w:tcMar>
            <w:vAlign w:val="center"/>
          </w:tcPr>
          <w:p w14:paraId="5B2E0F26">
            <w:pPr>
              <w:snapToGrid w:val="0"/>
              <w:ind w:left="56" w:leftChars="20" w:right="56" w:rightChars="20"/>
              <w:jc w:val="left"/>
              <w:rPr>
                <w:rFonts w:hint="eastAsia" w:hAnsi="宋体"/>
                <w:color w:val="auto"/>
                <w:sz w:val="21"/>
                <w:szCs w:val="21"/>
              </w:rPr>
            </w:pPr>
            <w:r>
              <w:rPr>
                <w:rFonts w:hint="eastAsia" w:hAnsi="宋体"/>
                <w:color w:val="auto"/>
                <w:sz w:val="21"/>
                <w:szCs w:val="21"/>
              </w:rPr>
              <w:t>62dB @ 12.5kHz        78dB @ 25kHz</w:t>
            </w:r>
          </w:p>
        </w:tc>
      </w:tr>
      <w:tr w14:paraId="04F8CC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7ABDF1BD">
            <w:pPr>
              <w:snapToGrid w:val="0"/>
              <w:jc w:val="center"/>
              <w:rPr>
                <w:rFonts w:hint="eastAsia" w:hAnsi="宋体"/>
                <w:color w:val="auto"/>
                <w:sz w:val="21"/>
                <w:szCs w:val="21"/>
              </w:rPr>
            </w:pPr>
            <w:r>
              <w:rPr>
                <w:rFonts w:hint="eastAsia" w:hAnsi="宋体"/>
                <w:color w:val="auto"/>
                <w:sz w:val="21"/>
                <w:szCs w:val="21"/>
              </w:rPr>
              <w:t>音频响应</w:t>
            </w:r>
          </w:p>
        </w:tc>
        <w:tc>
          <w:tcPr>
            <w:tcW w:w="3618" w:type="pct"/>
            <w:tcMar>
              <w:top w:w="0" w:type="dxa"/>
              <w:left w:w="0" w:type="dxa"/>
              <w:right w:w="0" w:type="dxa"/>
            </w:tcMar>
            <w:vAlign w:val="center"/>
          </w:tcPr>
          <w:p w14:paraId="63EFE388">
            <w:pPr>
              <w:snapToGrid w:val="0"/>
              <w:ind w:left="56" w:leftChars="20" w:right="56" w:rightChars="20"/>
              <w:jc w:val="left"/>
              <w:rPr>
                <w:rFonts w:hint="eastAsia" w:hAnsi="宋体"/>
                <w:color w:val="auto"/>
                <w:sz w:val="21"/>
                <w:szCs w:val="21"/>
              </w:rPr>
            </w:pPr>
            <w:r>
              <w:rPr>
                <w:rFonts w:hint="eastAsia" w:hAnsi="宋体"/>
                <w:color w:val="auto"/>
                <w:sz w:val="21"/>
                <w:szCs w:val="21"/>
              </w:rPr>
              <w:t>TIA603D</w:t>
            </w:r>
          </w:p>
        </w:tc>
      </w:tr>
      <w:tr w14:paraId="212536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57CEBF09">
            <w:pPr>
              <w:snapToGrid w:val="0"/>
              <w:jc w:val="center"/>
              <w:rPr>
                <w:rFonts w:hint="eastAsia" w:hAnsi="宋体"/>
                <w:color w:val="auto"/>
                <w:sz w:val="21"/>
                <w:szCs w:val="21"/>
              </w:rPr>
            </w:pPr>
            <w:r>
              <w:rPr>
                <w:rFonts w:hint="eastAsia" w:hAnsi="宋体"/>
                <w:color w:val="auto"/>
                <w:sz w:val="21"/>
                <w:szCs w:val="21"/>
              </w:rPr>
              <w:t>音频失真</w:t>
            </w:r>
          </w:p>
        </w:tc>
        <w:tc>
          <w:tcPr>
            <w:tcW w:w="3618" w:type="pct"/>
            <w:tcMar>
              <w:top w:w="0" w:type="dxa"/>
              <w:left w:w="0" w:type="dxa"/>
              <w:right w:w="0" w:type="dxa"/>
            </w:tcMar>
            <w:vAlign w:val="center"/>
          </w:tcPr>
          <w:p w14:paraId="31839CDA">
            <w:pPr>
              <w:snapToGrid w:val="0"/>
              <w:ind w:left="56" w:leftChars="20" w:right="56" w:rightChars="20"/>
              <w:jc w:val="left"/>
              <w:rPr>
                <w:rFonts w:hint="eastAsia" w:hAnsi="宋体"/>
                <w:color w:val="auto"/>
                <w:sz w:val="21"/>
                <w:szCs w:val="21"/>
              </w:rPr>
            </w:pPr>
            <w:r>
              <w:rPr>
                <w:rFonts w:hint="eastAsia" w:hAnsi="宋体"/>
                <w:color w:val="auto"/>
                <w:sz w:val="21"/>
                <w:szCs w:val="21"/>
              </w:rPr>
              <w:t>小于1%</w:t>
            </w:r>
          </w:p>
        </w:tc>
      </w:tr>
      <w:tr w14:paraId="4432D6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2B9D4F05">
            <w:pPr>
              <w:snapToGrid w:val="0"/>
              <w:jc w:val="center"/>
              <w:rPr>
                <w:rFonts w:hint="eastAsia" w:hAnsi="宋体"/>
                <w:color w:val="auto"/>
                <w:sz w:val="21"/>
                <w:szCs w:val="21"/>
              </w:rPr>
            </w:pPr>
            <w:r>
              <w:rPr>
                <w:rFonts w:hint="eastAsia" w:hAnsi="宋体"/>
                <w:color w:val="auto"/>
                <w:sz w:val="21"/>
                <w:szCs w:val="21"/>
              </w:rPr>
              <w:t>发射机噪声25/12.5KHz</w:t>
            </w:r>
          </w:p>
        </w:tc>
        <w:tc>
          <w:tcPr>
            <w:tcW w:w="3618" w:type="pct"/>
            <w:tcMar>
              <w:top w:w="0" w:type="dxa"/>
              <w:left w:w="0" w:type="dxa"/>
              <w:right w:w="0" w:type="dxa"/>
            </w:tcMar>
            <w:vAlign w:val="center"/>
          </w:tcPr>
          <w:p w14:paraId="4CED3C65">
            <w:pPr>
              <w:snapToGrid w:val="0"/>
              <w:ind w:left="56" w:leftChars="20" w:right="56" w:rightChars="20"/>
              <w:jc w:val="left"/>
              <w:rPr>
                <w:rFonts w:hint="eastAsia" w:hAnsi="宋体"/>
                <w:color w:val="auto"/>
                <w:sz w:val="21"/>
                <w:szCs w:val="21"/>
              </w:rPr>
            </w:pPr>
            <w:r>
              <w:rPr>
                <w:rFonts w:hint="eastAsia" w:hAnsi="宋体"/>
                <w:color w:val="auto"/>
                <w:sz w:val="21"/>
                <w:szCs w:val="21"/>
              </w:rPr>
              <w:t>-50dB/12.5K；-45dB/25K</w:t>
            </w:r>
          </w:p>
        </w:tc>
      </w:tr>
      <w:tr w14:paraId="7290EC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82" w:type="pct"/>
            <w:tcMar>
              <w:top w:w="0" w:type="dxa"/>
              <w:left w:w="0" w:type="dxa"/>
              <w:right w:w="0" w:type="dxa"/>
            </w:tcMar>
            <w:vAlign w:val="center"/>
          </w:tcPr>
          <w:p w14:paraId="6D660281">
            <w:pPr>
              <w:snapToGrid w:val="0"/>
              <w:jc w:val="center"/>
              <w:rPr>
                <w:rFonts w:hint="eastAsia" w:hAnsi="宋体"/>
                <w:color w:val="auto"/>
                <w:sz w:val="21"/>
                <w:szCs w:val="21"/>
              </w:rPr>
            </w:pPr>
            <w:r>
              <w:rPr>
                <w:rFonts w:hint="eastAsia" w:hAnsi="宋体"/>
                <w:color w:val="auto"/>
                <w:sz w:val="21"/>
                <w:szCs w:val="21"/>
              </w:rPr>
              <w:t>额定系统偏差25/12.5KHz</w:t>
            </w:r>
          </w:p>
        </w:tc>
        <w:tc>
          <w:tcPr>
            <w:tcW w:w="3618" w:type="pct"/>
            <w:tcMar>
              <w:top w:w="0" w:type="dxa"/>
              <w:left w:w="0" w:type="dxa"/>
              <w:right w:w="0" w:type="dxa"/>
            </w:tcMar>
            <w:vAlign w:val="center"/>
          </w:tcPr>
          <w:p w14:paraId="7D7AFEE1">
            <w:pPr>
              <w:snapToGrid w:val="0"/>
              <w:ind w:left="56" w:leftChars="20" w:right="56" w:rightChars="20"/>
              <w:jc w:val="left"/>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5.0/</w:t>
            </w:r>
            <w:r>
              <w:rPr>
                <w:rFonts w:hint="eastAsia" w:ascii="宋体" w:hAnsi="宋体"/>
                <w:color w:val="auto"/>
                <w:sz w:val="21"/>
                <w:szCs w:val="21"/>
              </w:rPr>
              <w:t>±</w:t>
            </w:r>
            <w:r>
              <w:rPr>
                <w:rFonts w:hint="eastAsia" w:hAnsi="宋体"/>
                <w:color w:val="auto"/>
                <w:sz w:val="21"/>
                <w:szCs w:val="21"/>
              </w:rPr>
              <w:t>2.5KHz</w:t>
            </w:r>
          </w:p>
        </w:tc>
      </w:tr>
    </w:tbl>
    <w:p w14:paraId="3CDB75C9">
      <w:pPr>
        <w:spacing w:before="120"/>
        <w:ind w:firstLine="422" w:firstLineChars="200"/>
        <w:rPr>
          <w:rFonts w:hint="eastAsia" w:hAnsi="宋体"/>
          <w:b/>
          <w:bCs/>
          <w:color w:val="auto"/>
          <w:sz w:val="21"/>
          <w:szCs w:val="21"/>
        </w:rPr>
      </w:pPr>
      <w:r>
        <w:rPr>
          <w:rFonts w:hint="eastAsia"/>
          <w:b/>
          <w:bCs/>
          <w:color w:val="auto"/>
          <w:sz w:val="21"/>
          <w:szCs w:val="21"/>
        </w:rPr>
        <w:t>6.2</w:t>
      </w:r>
      <w:r>
        <w:rPr>
          <w:b/>
          <w:bCs/>
          <w:color w:val="auto"/>
          <w:sz w:val="21"/>
          <w:szCs w:val="21"/>
        </w:rPr>
        <w:t xml:space="preserve">.4  </w:t>
      </w:r>
      <w:r>
        <w:rPr>
          <w:rFonts w:hint="eastAsia" w:hAnsi="宋体"/>
          <w:b/>
          <w:bCs/>
          <w:color w:val="auto"/>
          <w:sz w:val="21"/>
          <w:szCs w:val="21"/>
        </w:rPr>
        <w:t>调度台</w:t>
      </w:r>
    </w:p>
    <w:p w14:paraId="4A426CF8">
      <w:pPr>
        <w:ind w:firstLine="420" w:firstLineChars="200"/>
        <w:rPr>
          <w:color w:val="auto"/>
          <w:sz w:val="21"/>
          <w:szCs w:val="21"/>
        </w:rPr>
      </w:pPr>
      <w:r>
        <w:rPr>
          <w:rFonts w:hint="eastAsia"/>
          <w:color w:val="auto"/>
          <w:sz w:val="21"/>
          <w:szCs w:val="21"/>
        </w:rPr>
        <w:t>调度员通过此控制终端和系统内用户发起呼叫。功能要求：</w:t>
      </w:r>
    </w:p>
    <w:p w14:paraId="715B54D6">
      <w:pPr>
        <w:ind w:firstLine="420" w:firstLineChars="200"/>
        <w:rPr>
          <w:color w:val="auto"/>
          <w:sz w:val="21"/>
          <w:szCs w:val="21"/>
        </w:rPr>
      </w:pPr>
      <w:r>
        <w:rPr>
          <w:rFonts w:hint="eastAsia"/>
          <w:color w:val="auto"/>
          <w:sz w:val="21"/>
          <w:szCs w:val="21"/>
        </w:rPr>
        <w:t>（</w:t>
      </w:r>
      <w:r>
        <w:rPr>
          <w:color w:val="auto"/>
          <w:sz w:val="21"/>
          <w:szCs w:val="21"/>
        </w:rPr>
        <w:t>1</w:t>
      </w:r>
      <w:r>
        <w:rPr>
          <w:rFonts w:hint="eastAsia"/>
          <w:color w:val="auto"/>
          <w:sz w:val="21"/>
          <w:szCs w:val="21"/>
        </w:rPr>
        <w:t>）采用触摸屏操作，通过屏幕选择操作类型或操作菜单进行业务操作；</w:t>
      </w:r>
    </w:p>
    <w:p w14:paraId="57D2816A">
      <w:pPr>
        <w:ind w:firstLine="420" w:firstLineChars="200"/>
        <w:rPr>
          <w:color w:val="auto"/>
          <w:sz w:val="21"/>
          <w:szCs w:val="21"/>
        </w:rPr>
      </w:pPr>
      <w:r>
        <w:rPr>
          <w:rFonts w:hint="eastAsia"/>
          <w:color w:val="auto"/>
          <w:sz w:val="21"/>
          <w:szCs w:val="21"/>
        </w:rPr>
        <w:t>（</w:t>
      </w:r>
      <w:r>
        <w:rPr>
          <w:color w:val="auto"/>
          <w:sz w:val="21"/>
          <w:szCs w:val="21"/>
        </w:rPr>
        <w:t>2</w:t>
      </w:r>
      <w:r>
        <w:rPr>
          <w:rFonts w:hint="eastAsia"/>
          <w:color w:val="auto"/>
          <w:sz w:val="21"/>
          <w:szCs w:val="21"/>
        </w:rPr>
        <w:t>）话音输入采用话筒输入或台咪输入，通过台咪进行</w:t>
      </w:r>
      <w:r>
        <w:rPr>
          <w:color w:val="auto"/>
          <w:sz w:val="21"/>
          <w:szCs w:val="21"/>
        </w:rPr>
        <w:t>PTT</w:t>
      </w:r>
      <w:r>
        <w:rPr>
          <w:rFonts w:hint="eastAsia"/>
          <w:color w:val="auto"/>
          <w:sz w:val="21"/>
          <w:szCs w:val="21"/>
        </w:rPr>
        <w:t>操作；</w:t>
      </w:r>
    </w:p>
    <w:p w14:paraId="41BB9A19">
      <w:pPr>
        <w:ind w:firstLine="420" w:firstLineChars="200"/>
        <w:rPr>
          <w:color w:val="auto"/>
          <w:sz w:val="21"/>
          <w:szCs w:val="21"/>
        </w:rPr>
      </w:pPr>
      <w:r>
        <w:rPr>
          <w:rFonts w:hint="eastAsia"/>
          <w:color w:val="auto"/>
          <w:sz w:val="21"/>
          <w:szCs w:val="21"/>
        </w:rPr>
        <w:t>（</w:t>
      </w:r>
      <w:r>
        <w:rPr>
          <w:color w:val="auto"/>
          <w:sz w:val="21"/>
          <w:szCs w:val="21"/>
        </w:rPr>
        <w:t>3</w:t>
      </w:r>
      <w:r>
        <w:rPr>
          <w:rFonts w:hint="eastAsia"/>
          <w:color w:val="auto"/>
          <w:sz w:val="21"/>
          <w:szCs w:val="21"/>
        </w:rPr>
        <w:t>）语音和信令通过网口进行</w:t>
      </w:r>
      <w:r>
        <w:rPr>
          <w:color w:val="auto"/>
          <w:sz w:val="21"/>
          <w:szCs w:val="21"/>
        </w:rPr>
        <w:t>IP</w:t>
      </w:r>
      <w:r>
        <w:rPr>
          <w:rFonts w:hint="eastAsia"/>
          <w:color w:val="auto"/>
          <w:sz w:val="21"/>
          <w:szCs w:val="21"/>
        </w:rPr>
        <w:t>交互；</w:t>
      </w:r>
    </w:p>
    <w:p w14:paraId="55137BB6">
      <w:pPr>
        <w:ind w:firstLine="420" w:firstLineChars="200"/>
        <w:rPr>
          <w:color w:val="auto"/>
          <w:sz w:val="21"/>
          <w:szCs w:val="21"/>
        </w:rPr>
      </w:pPr>
      <w:r>
        <w:rPr>
          <w:rFonts w:hint="eastAsia"/>
          <w:color w:val="auto"/>
          <w:sz w:val="21"/>
          <w:szCs w:val="21"/>
        </w:rPr>
        <w:t>（</w:t>
      </w:r>
      <w:r>
        <w:rPr>
          <w:color w:val="auto"/>
          <w:sz w:val="21"/>
          <w:szCs w:val="21"/>
        </w:rPr>
        <w:t>4</w:t>
      </w:r>
      <w:r>
        <w:rPr>
          <w:rFonts w:hint="eastAsia"/>
          <w:color w:val="auto"/>
          <w:sz w:val="21"/>
          <w:szCs w:val="21"/>
        </w:rPr>
        <w:t>）值班员台</w:t>
      </w:r>
      <w:r>
        <w:rPr>
          <w:color w:val="auto"/>
          <w:sz w:val="21"/>
          <w:szCs w:val="21"/>
        </w:rPr>
        <w:t>OS</w:t>
      </w:r>
      <w:r>
        <w:rPr>
          <w:rFonts w:hint="eastAsia"/>
          <w:color w:val="auto"/>
          <w:sz w:val="21"/>
          <w:szCs w:val="21"/>
        </w:rPr>
        <w:t>采用</w:t>
      </w:r>
      <w:r>
        <w:rPr>
          <w:color w:val="auto"/>
          <w:sz w:val="21"/>
          <w:szCs w:val="21"/>
        </w:rPr>
        <w:t>android</w:t>
      </w:r>
      <w:r>
        <w:rPr>
          <w:rFonts w:hint="eastAsia"/>
          <w:color w:val="auto"/>
          <w:sz w:val="21"/>
          <w:szCs w:val="21"/>
        </w:rPr>
        <w:t>系统，具备升级功能；</w:t>
      </w:r>
    </w:p>
    <w:p w14:paraId="677DCBA8">
      <w:pPr>
        <w:ind w:firstLine="420" w:firstLineChars="200"/>
        <w:rPr>
          <w:color w:val="auto"/>
          <w:sz w:val="21"/>
          <w:szCs w:val="21"/>
        </w:rPr>
      </w:pPr>
      <w:r>
        <w:rPr>
          <w:rFonts w:hint="eastAsia"/>
          <w:color w:val="auto"/>
          <w:sz w:val="21"/>
          <w:szCs w:val="21"/>
        </w:rPr>
        <w:t>（</w:t>
      </w:r>
      <w:r>
        <w:rPr>
          <w:color w:val="auto"/>
          <w:sz w:val="21"/>
          <w:szCs w:val="21"/>
        </w:rPr>
        <w:t>5</w:t>
      </w:r>
      <w:r>
        <w:rPr>
          <w:rFonts w:hint="eastAsia"/>
          <w:color w:val="auto"/>
          <w:sz w:val="21"/>
          <w:szCs w:val="21"/>
        </w:rPr>
        <w:t>）发起语音呼叫或者接收到呼叫语音时本地可进行录音；连续录音时长</w:t>
      </w:r>
      <w:r>
        <w:rPr>
          <w:rFonts w:hint="eastAsia" w:ascii="宋体" w:hAnsi="宋体"/>
          <w:color w:val="auto"/>
          <w:sz w:val="21"/>
          <w:szCs w:val="21"/>
        </w:rPr>
        <w:t>≥</w:t>
      </w:r>
      <w:r>
        <w:rPr>
          <w:color w:val="auto"/>
          <w:sz w:val="21"/>
          <w:szCs w:val="21"/>
        </w:rPr>
        <w:t>500</w:t>
      </w:r>
      <w:r>
        <w:rPr>
          <w:rFonts w:hint="eastAsia"/>
          <w:color w:val="auto"/>
          <w:sz w:val="21"/>
          <w:szCs w:val="21"/>
        </w:rPr>
        <w:t>小时；</w:t>
      </w:r>
    </w:p>
    <w:p w14:paraId="5FFAE45D">
      <w:pPr>
        <w:ind w:firstLine="420" w:firstLineChars="200"/>
        <w:rPr>
          <w:color w:val="auto"/>
          <w:sz w:val="21"/>
          <w:szCs w:val="21"/>
        </w:rPr>
      </w:pPr>
      <w:r>
        <w:rPr>
          <w:rFonts w:hint="eastAsia"/>
          <w:color w:val="auto"/>
          <w:sz w:val="21"/>
          <w:szCs w:val="21"/>
        </w:rPr>
        <w:t>（</w:t>
      </w:r>
      <w:r>
        <w:rPr>
          <w:color w:val="auto"/>
          <w:sz w:val="21"/>
          <w:szCs w:val="21"/>
        </w:rPr>
        <w:t>6</w:t>
      </w:r>
      <w:r>
        <w:rPr>
          <w:rFonts w:hint="eastAsia"/>
          <w:color w:val="auto"/>
          <w:sz w:val="21"/>
          <w:szCs w:val="21"/>
        </w:rPr>
        <w:t>）当接收到语音呼入时，语音通过内部扬声器放出，也可以拿起话筒手柄接听，此时扬声器静默；</w:t>
      </w:r>
    </w:p>
    <w:p w14:paraId="3717B90C">
      <w:pPr>
        <w:ind w:firstLine="420" w:firstLineChars="200"/>
        <w:rPr>
          <w:color w:val="auto"/>
          <w:sz w:val="21"/>
          <w:szCs w:val="21"/>
        </w:rPr>
      </w:pPr>
      <w:r>
        <w:rPr>
          <w:rFonts w:hint="eastAsia"/>
          <w:color w:val="auto"/>
          <w:sz w:val="21"/>
          <w:szCs w:val="21"/>
        </w:rPr>
        <w:t>（</w:t>
      </w:r>
      <w:r>
        <w:rPr>
          <w:color w:val="auto"/>
          <w:sz w:val="21"/>
          <w:szCs w:val="21"/>
        </w:rPr>
        <w:t>7</w:t>
      </w:r>
      <w:r>
        <w:rPr>
          <w:rFonts w:hint="eastAsia"/>
          <w:color w:val="auto"/>
          <w:sz w:val="21"/>
          <w:szCs w:val="21"/>
        </w:rPr>
        <w:t>）侧面有</w:t>
      </w:r>
      <w:r>
        <w:rPr>
          <w:color w:val="auto"/>
          <w:sz w:val="21"/>
          <w:szCs w:val="21"/>
        </w:rPr>
        <w:t>USB</w:t>
      </w:r>
      <w:r>
        <w:rPr>
          <w:rFonts w:hint="eastAsia"/>
          <w:color w:val="auto"/>
          <w:sz w:val="21"/>
          <w:szCs w:val="21"/>
        </w:rPr>
        <w:t>接口可以连接键盘鼠标等进行调单操作，也可以通过触摸屏进行调单操作。</w:t>
      </w:r>
    </w:p>
    <w:p w14:paraId="2422E577">
      <w:pPr>
        <w:ind w:firstLine="420" w:firstLineChars="200"/>
        <w:rPr>
          <w:color w:val="auto"/>
          <w:sz w:val="21"/>
          <w:szCs w:val="21"/>
        </w:rPr>
      </w:pPr>
      <w:r>
        <w:rPr>
          <w:rFonts w:hint="eastAsia"/>
          <w:color w:val="auto"/>
          <w:sz w:val="21"/>
          <w:szCs w:val="21"/>
        </w:rPr>
        <w:t>（</w:t>
      </w:r>
      <w:r>
        <w:rPr>
          <w:color w:val="auto"/>
          <w:sz w:val="21"/>
          <w:szCs w:val="21"/>
        </w:rPr>
        <w:t>8</w:t>
      </w:r>
      <w:r>
        <w:rPr>
          <w:rFonts w:hint="eastAsia"/>
          <w:color w:val="auto"/>
          <w:sz w:val="21"/>
          <w:szCs w:val="21"/>
        </w:rPr>
        <w:t>）具备</w:t>
      </w:r>
      <w:r>
        <w:rPr>
          <w:color w:val="auto"/>
          <w:sz w:val="21"/>
          <w:szCs w:val="21"/>
        </w:rPr>
        <w:t>GPS/</w:t>
      </w:r>
      <w:r>
        <w:rPr>
          <w:rFonts w:hint="eastAsia"/>
          <w:color w:val="auto"/>
          <w:sz w:val="21"/>
          <w:szCs w:val="21"/>
        </w:rPr>
        <w:t>北斗机车运行动态轨迹显示功能。</w:t>
      </w:r>
    </w:p>
    <w:p w14:paraId="69C9D37B">
      <w:pPr>
        <w:ind w:firstLine="420" w:firstLineChars="200"/>
        <w:rPr>
          <w:color w:val="auto"/>
          <w:sz w:val="21"/>
          <w:szCs w:val="21"/>
        </w:rPr>
      </w:pPr>
      <w:r>
        <w:rPr>
          <w:rFonts w:hint="eastAsia"/>
          <w:color w:val="auto"/>
          <w:sz w:val="21"/>
          <w:szCs w:val="21"/>
        </w:rPr>
        <w:t>调度台技术指标不低于下表的要求：</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205"/>
        <w:gridCol w:w="6121"/>
      </w:tblGrid>
      <w:tr w14:paraId="7AEE09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324" w:type="pct"/>
            <w:tcMar>
              <w:top w:w="0" w:type="dxa"/>
              <w:left w:w="0" w:type="dxa"/>
              <w:right w:w="0" w:type="dxa"/>
            </w:tcMar>
            <w:vAlign w:val="center"/>
          </w:tcPr>
          <w:p w14:paraId="7EC2F9EF">
            <w:pPr>
              <w:snapToGrid w:val="0"/>
              <w:jc w:val="center"/>
              <w:rPr>
                <w:color w:val="auto"/>
                <w:sz w:val="21"/>
                <w:szCs w:val="21"/>
              </w:rPr>
            </w:pPr>
            <w:r>
              <w:rPr>
                <w:rFonts w:hint="eastAsia"/>
                <w:color w:val="auto"/>
                <w:sz w:val="21"/>
                <w:szCs w:val="21"/>
              </w:rPr>
              <w:t>规格名称</w:t>
            </w:r>
          </w:p>
        </w:tc>
        <w:tc>
          <w:tcPr>
            <w:tcW w:w="3676" w:type="pct"/>
            <w:tcMar>
              <w:top w:w="0" w:type="dxa"/>
              <w:left w:w="0" w:type="dxa"/>
              <w:right w:w="0" w:type="dxa"/>
            </w:tcMar>
            <w:vAlign w:val="center"/>
          </w:tcPr>
          <w:p w14:paraId="18FB4761">
            <w:pPr>
              <w:snapToGrid w:val="0"/>
              <w:jc w:val="center"/>
              <w:rPr>
                <w:color w:val="auto"/>
                <w:sz w:val="21"/>
                <w:szCs w:val="21"/>
              </w:rPr>
            </w:pPr>
            <w:r>
              <w:rPr>
                <w:rFonts w:hint="eastAsia"/>
                <w:color w:val="auto"/>
                <w:sz w:val="21"/>
                <w:szCs w:val="21"/>
              </w:rPr>
              <w:t>规  格</w:t>
            </w:r>
          </w:p>
        </w:tc>
      </w:tr>
      <w:tr w14:paraId="05A0C0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19010546">
            <w:pPr>
              <w:snapToGrid w:val="0"/>
              <w:jc w:val="center"/>
              <w:rPr>
                <w:color w:val="auto"/>
                <w:sz w:val="21"/>
                <w:szCs w:val="21"/>
              </w:rPr>
            </w:pPr>
            <w:r>
              <w:rPr>
                <w:rFonts w:hint="eastAsia"/>
                <w:color w:val="auto"/>
                <w:sz w:val="21"/>
                <w:szCs w:val="21"/>
              </w:rPr>
              <w:t>语音输出格式</w:t>
            </w:r>
          </w:p>
        </w:tc>
        <w:tc>
          <w:tcPr>
            <w:tcW w:w="3676" w:type="pct"/>
            <w:tcMar>
              <w:top w:w="0" w:type="dxa"/>
              <w:left w:w="0" w:type="dxa"/>
              <w:right w:w="0" w:type="dxa"/>
            </w:tcMar>
            <w:vAlign w:val="center"/>
          </w:tcPr>
          <w:p w14:paraId="57341F47">
            <w:pPr>
              <w:snapToGrid w:val="0"/>
              <w:jc w:val="center"/>
              <w:rPr>
                <w:color w:val="auto"/>
                <w:sz w:val="21"/>
                <w:szCs w:val="21"/>
              </w:rPr>
            </w:pPr>
            <w:r>
              <w:rPr>
                <w:rFonts w:hint="eastAsia"/>
                <w:color w:val="auto"/>
                <w:sz w:val="21"/>
                <w:szCs w:val="21"/>
              </w:rPr>
              <w:t>PCM 8K12 BIT</w:t>
            </w:r>
          </w:p>
        </w:tc>
      </w:tr>
      <w:tr w14:paraId="55D7FD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02FC792D">
            <w:pPr>
              <w:snapToGrid w:val="0"/>
              <w:jc w:val="center"/>
              <w:rPr>
                <w:color w:val="auto"/>
                <w:sz w:val="21"/>
                <w:szCs w:val="21"/>
              </w:rPr>
            </w:pPr>
            <w:r>
              <w:rPr>
                <w:rFonts w:hint="eastAsia"/>
                <w:color w:val="auto"/>
                <w:sz w:val="21"/>
                <w:szCs w:val="21"/>
              </w:rPr>
              <w:t>电源输入</w:t>
            </w:r>
          </w:p>
        </w:tc>
        <w:tc>
          <w:tcPr>
            <w:tcW w:w="3676" w:type="pct"/>
            <w:tcMar>
              <w:top w:w="0" w:type="dxa"/>
              <w:left w:w="0" w:type="dxa"/>
              <w:right w:w="0" w:type="dxa"/>
            </w:tcMar>
            <w:vAlign w:val="center"/>
          </w:tcPr>
          <w:p w14:paraId="2AC1549E">
            <w:pPr>
              <w:snapToGrid w:val="0"/>
              <w:jc w:val="center"/>
              <w:rPr>
                <w:color w:val="auto"/>
                <w:sz w:val="21"/>
                <w:szCs w:val="21"/>
              </w:rPr>
            </w:pPr>
            <w:r>
              <w:rPr>
                <w:rFonts w:hint="eastAsia"/>
                <w:color w:val="auto"/>
                <w:sz w:val="21"/>
                <w:szCs w:val="21"/>
              </w:rPr>
              <w:t>220V AC</w:t>
            </w:r>
          </w:p>
        </w:tc>
      </w:tr>
      <w:tr w14:paraId="583CB3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5A2EA31D">
            <w:pPr>
              <w:snapToGrid w:val="0"/>
              <w:jc w:val="center"/>
              <w:rPr>
                <w:color w:val="auto"/>
                <w:sz w:val="21"/>
                <w:szCs w:val="21"/>
              </w:rPr>
            </w:pPr>
            <w:r>
              <w:rPr>
                <w:rFonts w:hint="eastAsia"/>
                <w:color w:val="auto"/>
                <w:sz w:val="21"/>
                <w:szCs w:val="21"/>
              </w:rPr>
              <w:t>音频输出功率</w:t>
            </w:r>
          </w:p>
        </w:tc>
        <w:tc>
          <w:tcPr>
            <w:tcW w:w="3676" w:type="pct"/>
            <w:tcMar>
              <w:top w:w="0" w:type="dxa"/>
              <w:left w:w="0" w:type="dxa"/>
              <w:right w:w="0" w:type="dxa"/>
            </w:tcMar>
            <w:vAlign w:val="center"/>
          </w:tcPr>
          <w:p w14:paraId="4A346CBF">
            <w:pPr>
              <w:snapToGrid w:val="0"/>
              <w:jc w:val="center"/>
              <w:rPr>
                <w:color w:val="auto"/>
                <w:sz w:val="21"/>
                <w:szCs w:val="21"/>
              </w:rPr>
            </w:pPr>
            <w:r>
              <w:rPr>
                <w:rFonts w:hint="eastAsia"/>
                <w:color w:val="auto"/>
                <w:sz w:val="21"/>
                <w:szCs w:val="21"/>
              </w:rPr>
              <w:t>5W 8OHM/ 2W 8OHM</w:t>
            </w:r>
          </w:p>
        </w:tc>
      </w:tr>
      <w:tr w14:paraId="51C9D1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2BC7C655">
            <w:pPr>
              <w:snapToGrid w:val="0"/>
              <w:jc w:val="center"/>
              <w:rPr>
                <w:color w:val="auto"/>
                <w:sz w:val="21"/>
                <w:szCs w:val="21"/>
              </w:rPr>
            </w:pPr>
            <w:r>
              <w:rPr>
                <w:rFonts w:hint="eastAsia"/>
                <w:color w:val="auto"/>
                <w:sz w:val="21"/>
                <w:szCs w:val="21"/>
              </w:rPr>
              <w:t xml:space="preserve">台咪 </w:t>
            </w:r>
          </w:p>
        </w:tc>
        <w:tc>
          <w:tcPr>
            <w:tcW w:w="3676" w:type="pct"/>
            <w:tcMar>
              <w:top w:w="0" w:type="dxa"/>
              <w:left w:w="0" w:type="dxa"/>
              <w:right w:w="0" w:type="dxa"/>
            </w:tcMar>
            <w:vAlign w:val="center"/>
          </w:tcPr>
          <w:p w14:paraId="2A10639A">
            <w:pPr>
              <w:snapToGrid w:val="0"/>
              <w:jc w:val="center"/>
              <w:rPr>
                <w:color w:val="auto"/>
                <w:sz w:val="21"/>
                <w:szCs w:val="21"/>
              </w:rPr>
            </w:pPr>
            <w:r>
              <w:rPr>
                <w:rFonts w:hint="eastAsia"/>
                <w:color w:val="auto"/>
                <w:sz w:val="21"/>
                <w:szCs w:val="21"/>
              </w:rPr>
              <w:t xml:space="preserve"> -36dBm台咪 带PTT功能</w:t>
            </w:r>
          </w:p>
        </w:tc>
      </w:tr>
      <w:tr w14:paraId="5E82D7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467DC5AB">
            <w:pPr>
              <w:snapToGrid w:val="0"/>
              <w:jc w:val="center"/>
              <w:rPr>
                <w:color w:val="auto"/>
                <w:sz w:val="21"/>
                <w:szCs w:val="21"/>
              </w:rPr>
            </w:pPr>
            <w:r>
              <w:rPr>
                <w:rFonts w:hint="eastAsia"/>
                <w:color w:val="auto"/>
                <w:sz w:val="21"/>
                <w:szCs w:val="21"/>
              </w:rPr>
              <w:t>工作电流</w:t>
            </w:r>
          </w:p>
        </w:tc>
        <w:tc>
          <w:tcPr>
            <w:tcW w:w="3676" w:type="pct"/>
            <w:tcMar>
              <w:top w:w="0" w:type="dxa"/>
              <w:left w:w="0" w:type="dxa"/>
              <w:right w:w="0" w:type="dxa"/>
            </w:tcMar>
            <w:vAlign w:val="center"/>
          </w:tcPr>
          <w:p w14:paraId="62151992">
            <w:pPr>
              <w:snapToGrid w:val="0"/>
              <w:jc w:val="center"/>
              <w:rPr>
                <w:color w:val="auto"/>
                <w:sz w:val="21"/>
                <w:szCs w:val="21"/>
              </w:rPr>
            </w:pPr>
            <w:r>
              <w:rPr>
                <w:rFonts w:hint="eastAsia"/>
                <w:color w:val="auto"/>
                <w:sz w:val="21"/>
                <w:szCs w:val="21"/>
              </w:rPr>
              <w:t>&lt;2A Max</w:t>
            </w:r>
          </w:p>
        </w:tc>
      </w:tr>
      <w:tr w14:paraId="212F48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5C9E6EB3">
            <w:pPr>
              <w:snapToGrid w:val="0"/>
              <w:jc w:val="center"/>
              <w:rPr>
                <w:color w:val="auto"/>
                <w:sz w:val="21"/>
                <w:szCs w:val="21"/>
              </w:rPr>
            </w:pPr>
            <w:r>
              <w:rPr>
                <w:rFonts w:hint="eastAsia"/>
                <w:color w:val="auto"/>
                <w:sz w:val="21"/>
                <w:szCs w:val="21"/>
              </w:rPr>
              <w:t>屏幕尺寸</w:t>
            </w:r>
          </w:p>
        </w:tc>
        <w:tc>
          <w:tcPr>
            <w:tcW w:w="3676" w:type="pct"/>
            <w:tcMar>
              <w:top w:w="0" w:type="dxa"/>
              <w:left w:w="0" w:type="dxa"/>
              <w:right w:w="0" w:type="dxa"/>
            </w:tcMar>
            <w:vAlign w:val="center"/>
          </w:tcPr>
          <w:p w14:paraId="4509B9F2">
            <w:pPr>
              <w:snapToGrid w:val="0"/>
              <w:jc w:val="center"/>
              <w:rPr>
                <w:color w:val="auto"/>
                <w:sz w:val="21"/>
                <w:szCs w:val="21"/>
              </w:rPr>
            </w:pPr>
            <w:r>
              <w:rPr>
                <w:rFonts w:hint="eastAsia"/>
                <w:color w:val="auto"/>
                <w:sz w:val="21"/>
                <w:szCs w:val="21"/>
              </w:rPr>
              <w:t>不小于12寸</w:t>
            </w:r>
          </w:p>
        </w:tc>
      </w:tr>
      <w:tr w14:paraId="71FCB5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2DFCB981">
            <w:pPr>
              <w:snapToGrid w:val="0"/>
              <w:jc w:val="center"/>
              <w:rPr>
                <w:color w:val="auto"/>
                <w:sz w:val="21"/>
                <w:szCs w:val="21"/>
              </w:rPr>
            </w:pPr>
            <w:r>
              <w:rPr>
                <w:rFonts w:hint="eastAsia"/>
                <w:color w:val="auto"/>
                <w:sz w:val="21"/>
                <w:szCs w:val="21"/>
              </w:rPr>
              <w:t>工作温度</w:t>
            </w:r>
          </w:p>
        </w:tc>
        <w:tc>
          <w:tcPr>
            <w:tcW w:w="3676" w:type="pct"/>
            <w:tcMar>
              <w:top w:w="0" w:type="dxa"/>
              <w:left w:w="0" w:type="dxa"/>
              <w:right w:w="0" w:type="dxa"/>
            </w:tcMar>
            <w:vAlign w:val="center"/>
          </w:tcPr>
          <w:p w14:paraId="53655863">
            <w:pPr>
              <w:snapToGrid w:val="0"/>
              <w:jc w:val="center"/>
              <w:rPr>
                <w:color w:val="auto"/>
                <w:sz w:val="21"/>
                <w:szCs w:val="21"/>
              </w:rPr>
            </w:pPr>
            <w:r>
              <w:rPr>
                <w:rFonts w:hint="eastAsia"/>
                <w:color w:val="auto"/>
                <w:sz w:val="21"/>
                <w:szCs w:val="21"/>
              </w:rPr>
              <w:t>-25</w:t>
            </w:r>
            <w:r>
              <w:rPr>
                <w:rFonts w:hint="eastAsia" w:ascii="宋体" w:hAnsi="宋体"/>
                <w:color w:val="auto"/>
                <w:sz w:val="21"/>
                <w:szCs w:val="21"/>
              </w:rPr>
              <w:t>～</w:t>
            </w:r>
            <w:r>
              <w:rPr>
                <w:rFonts w:hint="eastAsia"/>
                <w:color w:val="auto"/>
                <w:sz w:val="21"/>
                <w:szCs w:val="21"/>
              </w:rPr>
              <w:t>55℃</w:t>
            </w:r>
          </w:p>
        </w:tc>
      </w:tr>
      <w:tr w14:paraId="58657F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00" w:type="pct"/>
            <w:gridSpan w:val="2"/>
            <w:tcMar>
              <w:top w:w="0" w:type="dxa"/>
              <w:left w:w="0" w:type="dxa"/>
              <w:right w:w="0" w:type="dxa"/>
            </w:tcMar>
            <w:vAlign w:val="center"/>
          </w:tcPr>
          <w:p w14:paraId="06CF43B7">
            <w:pPr>
              <w:snapToGrid w:val="0"/>
              <w:jc w:val="center"/>
              <w:rPr>
                <w:color w:val="auto"/>
                <w:sz w:val="21"/>
                <w:szCs w:val="21"/>
              </w:rPr>
            </w:pPr>
            <w:r>
              <w:rPr>
                <w:rFonts w:hint="eastAsia"/>
                <w:color w:val="auto"/>
                <w:sz w:val="21"/>
                <w:szCs w:val="21"/>
              </w:rPr>
              <w:t>接口</w:t>
            </w:r>
          </w:p>
        </w:tc>
      </w:tr>
      <w:tr w14:paraId="5B9B4D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48DED7AC">
            <w:pPr>
              <w:snapToGrid w:val="0"/>
              <w:jc w:val="center"/>
              <w:rPr>
                <w:color w:val="auto"/>
                <w:sz w:val="21"/>
                <w:szCs w:val="21"/>
              </w:rPr>
            </w:pPr>
            <w:r>
              <w:rPr>
                <w:rFonts w:hint="eastAsia"/>
                <w:color w:val="auto"/>
                <w:sz w:val="21"/>
                <w:szCs w:val="21"/>
              </w:rPr>
              <w:t>电源接口</w:t>
            </w:r>
          </w:p>
        </w:tc>
        <w:tc>
          <w:tcPr>
            <w:tcW w:w="3676" w:type="pct"/>
            <w:tcMar>
              <w:top w:w="0" w:type="dxa"/>
              <w:left w:w="0" w:type="dxa"/>
              <w:right w:w="0" w:type="dxa"/>
            </w:tcMar>
            <w:vAlign w:val="center"/>
          </w:tcPr>
          <w:p w14:paraId="2804CF8E">
            <w:pPr>
              <w:snapToGrid w:val="0"/>
              <w:jc w:val="center"/>
              <w:rPr>
                <w:color w:val="auto"/>
                <w:sz w:val="21"/>
                <w:szCs w:val="21"/>
              </w:rPr>
            </w:pPr>
            <w:r>
              <w:rPr>
                <w:rFonts w:hint="eastAsia"/>
                <w:color w:val="auto"/>
                <w:sz w:val="21"/>
                <w:szCs w:val="21"/>
              </w:rPr>
              <w:t>2.5X5.5</w:t>
            </w:r>
          </w:p>
        </w:tc>
      </w:tr>
      <w:tr w14:paraId="0D12C8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70089685">
            <w:pPr>
              <w:snapToGrid w:val="0"/>
              <w:jc w:val="center"/>
              <w:rPr>
                <w:color w:val="auto"/>
                <w:sz w:val="21"/>
                <w:szCs w:val="21"/>
              </w:rPr>
            </w:pPr>
            <w:r>
              <w:rPr>
                <w:rFonts w:hint="eastAsia"/>
                <w:color w:val="auto"/>
                <w:sz w:val="21"/>
                <w:szCs w:val="21"/>
              </w:rPr>
              <w:t>网络接口</w:t>
            </w:r>
          </w:p>
        </w:tc>
        <w:tc>
          <w:tcPr>
            <w:tcW w:w="3676" w:type="pct"/>
            <w:tcMar>
              <w:top w:w="0" w:type="dxa"/>
              <w:left w:w="0" w:type="dxa"/>
              <w:right w:w="0" w:type="dxa"/>
            </w:tcMar>
            <w:vAlign w:val="center"/>
          </w:tcPr>
          <w:p w14:paraId="148352F9">
            <w:pPr>
              <w:snapToGrid w:val="0"/>
              <w:jc w:val="center"/>
              <w:rPr>
                <w:color w:val="auto"/>
                <w:sz w:val="21"/>
                <w:szCs w:val="21"/>
              </w:rPr>
            </w:pPr>
            <w:r>
              <w:rPr>
                <w:rFonts w:hint="eastAsia"/>
                <w:color w:val="auto"/>
                <w:sz w:val="21"/>
                <w:szCs w:val="21"/>
              </w:rPr>
              <w:t>RJ45 X1</w:t>
            </w:r>
          </w:p>
        </w:tc>
      </w:tr>
      <w:tr w14:paraId="3DC329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2498A554">
            <w:pPr>
              <w:snapToGrid w:val="0"/>
              <w:jc w:val="center"/>
              <w:rPr>
                <w:color w:val="auto"/>
                <w:sz w:val="21"/>
                <w:szCs w:val="21"/>
              </w:rPr>
            </w:pPr>
            <w:r>
              <w:rPr>
                <w:rFonts w:hint="eastAsia"/>
                <w:color w:val="auto"/>
                <w:sz w:val="21"/>
                <w:szCs w:val="21"/>
              </w:rPr>
              <w:t>USB接口</w:t>
            </w:r>
          </w:p>
        </w:tc>
        <w:tc>
          <w:tcPr>
            <w:tcW w:w="3676" w:type="pct"/>
            <w:tcMar>
              <w:top w:w="0" w:type="dxa"/>
              <w:left w:w="0" w:type="dxa"/>
              <w:right w:w="0" w:type="dxa"/>
            </w:tcMar>
            <w:vAlign w:val="center"/>
          </w:tcPr>
          <w:p w14:paraId="0F0B40D7">
            <w:pPr>
              <w:snapToGrid w:val="0"/>
              <w:jc w:val="center"/>
              <w:rPr>
                <w:color w:val="auto"/>
                <w:sz w:val="21"/>
                <w:szCs w:val="21"/>
              </w:rPr>
            </w:pPr>
            <w:r>
              <w:rPr>
                <w:rFonts w:hint="eastAsia"/>
                <w:color w:val="auto"/>
                <w:sz w:val="21"/>
                <w:szCs w:val="21"/>
              </w:rPr>
              <w:t>TYPE A 插座 X3</w:t>
            </w:r>
          </w:p>
        </w:tc>
      </w:tr>
      <w:tr w14:paraId="20FD48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0329A7C7">
            <w:pPr>
              <w:snapToGrid w:val="0"/>
              <w:jc w:val="center"/>
              <w:rPr>
                <w:color w:val="auto"/>
                <w:sz w:val="21"/>
                <w:szCs w:val="21"/>
              </w:rPr>
            </w:pPr>
            <w:r>
              <w:rPr>
                <w:rFonts w:hint="eastAsia"/>
                <w:color w:val="auto"/>
                <w:sz w:val="21"/>
                <w:szCs w:val="21"/>
              </w:rPr>
              <w:t>台咪</w:t>
            </w:r>
          </w:p>
        </w:tc>
        <w:tc>
          <w:tcPr>
            <w:tcW w:w="3676" w:type="pct"/>
            <w:tcMar>
              <w:top w:w="0" w:type="dxa"/>
              <w:left w:w="0" w:type="dxa"/>
              <w:right w:w="0" w:type="dxa"/>
            </w:tcMar>
            <w:vAlign w:val="center"/>
          </w:tcPr>
          <w:p w14:paraId="70164260">
            <w:pPr>
              <w:snapToGrid w:val="0"/>
              <w:jc w:val="center"/>
              <w:rPr>
                <w:color w:val="auto"/>
                <w:sz w:val="21"/>
                <w:szCs w:val="21"/>
              </w:rPr>
            </w:pPr>
            <w:r>
              <w:rPr>
                <w:rFonts w:hint="eastAsia"/>
                <w:color w:val="auto"/>
                <w:sz w:val="21"/>
                <w:szCs w:val="21"/>
              </w:rPr>
              <w:t>4芯航插GX12-4  X1</w:t>
            </w:r>
          </w:p>
        </w:tc>
      </w:tr>
      <w:tr w14:paraId="574812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2FE093DC">
            <w:pPr>
              <w:snapToGrid w:val="0"/>
              <w:jc w:val="center"/>
              <w:rPr>
                <w:color w:val="auto"/>
                <w:sz w:val="21"/>
                <w:szCs w:val="21"/>
              </w:rPr>
            </w:pPr>
            <w:r>
              <w:rPr>
                <w:rFonts w:hint="eastAsia"/>
                <w:color w:val="auto"/>
                <w:sz w:val="21"/>
                <w:szCs w:val="21"/>
              </w:rPr>
              <w:t>话柄</w:t>
            </w:r>
          </w:p>
        </w:tc>
        <w:tc>
          <w:tcPr>
            <w:tcW w:w="3676" w:type="pct"/>
            <w:tcMar>
              <w:top w:w="0" w:type="dxa"/>
              <w:left w:w="0" w:type="dxa"/>
              <w:right w:w="0" w:type="dxa"/>
            </w:tcMar>
            <w:vAlign w:val="center"/>
          </w:tcPr>
          <w:p w14:paraId="55952F65">
            <w:pPr>
              <w:snapToGrid w:val="0"/>
              <w:jc w:val="center"/>
              <w:rPr>
                <w:color w:val="auto"/>
                <w:sz w:val="21"/>
                <w:szCs w:val="21"/>
              </w:rPr>
            </w:pPr>
            <w:r>
              <w:rPr>
                <w:rFonts w:hint="eastAsia"/>
                <w:color w:val="auto"/>
                <w:sz w:val="21"/>
                <w:szCs w:val="21"/>
              </w:rPr>
              <w:t>4芯航插YC12-4 X1</w:t>
            </w:r>
          </w:p>
        </w:tc>
      </w:tr>
    </w:tbl>
    <w:p w14:paraId="030160A7">
      <w:pPr>
        <w:spacing w:before="120"/>
        <w:ind w:firstLine="422" w:firstLineChars="200"/>
        <w:rPr>
          <w:rFonts w:hint="eastAsia" w:hAnsi="宋体"/>
          <w:b/>
          <w:bCs/>
          <w:color w:val="auto"/>
          <w:sz w:val="21"/>
          <w:szCs w:val="21"/>
        </w:rPr>
      </w:pPr>
      <w:r>
        <w:rPr>
          <w:rFonts w:hint="eastAsia"/>
          <w:b/>
          <w:bCs/>
          <w:color w:val="auto"/>
          <w:sz w:val="21"/>
          <w:szCs w:val="21"/>
        </w:rPr>
        <w:t>6.2</w:t>
      </w:r>
      <w:r>
        <w:rPr>
          <w:b/>
          <w:bCs/>
          <w:color w:val="auto"/>
          <w:sz w:val="21"/>
          <w:szCs w:val="21"/>
        </w:rPr>
        <w:t xml:space="preserve">.5  </w:t>
      </w:r>
      <w:r>
        <w:rPr>
          <w:rFonts w:hint="eastAsia" w:hAnsi="宋体"/>
          <w:b/>
          <w:bCs/>
          <w:color w:val="auto"/>
          <w:sz w:val="21"/>
          <w:szCs w:val="21"/>
        </w:rPr>
        <w:t>车站值班台</w:t>
      </w:r>
    </w:p>
    <w:p w14:paraId="66E58610">
      <w:pPr>
        <w:ind w:firstLine="420" w:firstLineChars="200"/>
        <w:rPr>
          <w:color w:val="auto"/>
          <w:sz w:val="21"/>
          <w:szCs w:val="21"/>
        </w:rPr>
      </w:pPr>
      <w:r>
        <w:rPr>
          <w:rFonts w:hint="eastAsia"/>
          <w:color w:val="auto"/>
          <w:sz w:val="21"/>
          <w:szCs w:val="21"/>
        </w:rPr>
        <w:t>车站值班员通过此控制终端和系统内用户发起呼叫。功能要求：</w:t>
      </w:r>
    </w:p>
    <w:p w14:paraId="0E54F1C7">
      <w:pPr>
        <w:ind w:firstLine="420" w:firstLineChars="200"/>
        <w:rPr>
          <w:color w:val="auto"/>
          <w:sz w:val="21"/>
          <w:szCs w:val="21"/>
        </w:rPr>
      </w:pPr>
      <w:r>
        <w:rPr>
          <w:rFonts w:hint="eastAsia"/>
          <w:color w:val="auto"/>
          <w:sz w:val="21"/>
          <w:szCs w:val="21"/>
        </w:rPr>
        <w:t>（</w:t>
      </w:r>
      <w:r>
        <w:rPr>
          <w:color w:val="auto"/>
          <w:sz w:val="21"/>
          <w:szCs w:val="21"/>
        </w:rPr>
        <w:t>1</w:t>
      </w:r>
      <w:r>
        <w:rPr>
          <w:rFonts w:hint="eastAsia"/>
          <w:color w:val="auto"/>
          <w:sz w:val="21"/>
          <w:szCs w:val="21"/>
        </w:rPr>
        <w:t>）采用触摸屏操作，通过屏幕选择操作类型或操作菜单进行业务操作；</w:t>
      </w:r>
    </w:p>
    <w:p w14:paraId="6BCC213A">
      <w:pPr>
        <w:ind w:firstLine="420" w:firstLineChars="200"/>
        <w:rPr>
          <w:color w:val="auto"/>
          <w:sz w:val="21"/>
          <w:szCs w:val="21"/>
        </w:rPr>
      </w:pPr>
      <w:r>
        <w:rPr>
          <w:rFonts w:hint="eastAsia"/>
          <w:color w:val="auto"/>
          <w:sz w:val="21"/>
          <w:szCs w:val="21"/>
        </w:rPr>
        <w:t>（</w:t>
      </w:r>
      <w:r>
        <w:rPr>
          <w:color w:val="auto"/>
          <w:sz w:val="21"/>
          <w:szCs w:val="21"/>
        </w:rPr>
        <w:t>2</w:t>
      </w:r>
      <w:r>
        <w:rPr>
          <w:rFonts w:hint="eastAsia"/>
          <w:color w:val="auto"/>
          <w:sz w:val="21"/>
          <w:szCs w:val="21"/>
        </w:rPr>
        <w:t>）话音输入采用话筒输入或台咪输入，通过台咪进行</w:t>
      </w:r>
      <w:r>
        <w:rPr>
          <w:color w:val="auto"/>
          <w:sz w:val="21"/>
          <w:szCs w:val="21"/>
        </w:rPr>
        <w:t>PTT</w:t>
      </w:r>
      <w:r>
        <w:rPr>
          <w:rFonts w:hint="eastAsia"/>
          <w:color w:val="auto"/>
          <w:sz w:val="21"/>
          <w:szCs w:val="21"/>
        </w:rPr>
        <w:t>操作；</w:t>
      </w:r>
    </w:p>
    <w:p w14:paraId="1123A848">
      <w:pPr>
        <w:ind w:firstLine="420" w:firstLineChars="200"/>
        <w:rPr>
          <w:color w:val="auto"/>
          <w:sz w:val="21"/>
          <w:szCs w:val="21"/>
        </w:rPr>
      </w:pPr>
      <w:r>
        <w:rPr>
          <w:rFonts w:hint="eastAsia"/>
          <w:color w:val="auto"/>
          <w:sz w:val="21"/>
          <w:szCs w:val="21"/>
        </w:rPr>
        <w:t>（</w:t>
      </w:r>
      <w:r>
        <w:rPr>
          <w:color w:val="auto"/>
          <w:sz w:val="21"/>
          <w:szCs w:val="21"/>
        </w:rPr>
        <w:t>3</w:t>
      </w:r>
      <w:r>
        <w:rPr>
          <w:rFonts w:hint="eastAsia"/>
          <w:color w:val="auto"/>
          <w:sz w:val="21"/>
          <w:szCs w:val="21"/>
        </w:rPr>
        <w:t>）语音和信令通过网口进行</w:t>
      </w:r>
      <w:r>
        <w:rPr>
          <w:color w:val="auto"/>
          <w:sz w:val="21"/>
          <w:szCs w:val="21"/>
        </w:rPr>
        <w:t>IP</w:t>
      </w:r>
      <w:r>
        <w:rPr>
          <w:rFonts w:hint="eastAsia"/>
          <w:color w:val="auto"/>
          <w:sz w:val="21"/>
          <w:szCs w:val="21"/>
        </w:rPr>
        <w:t>交互；</w:t>
      </w:r>
    </w:p>
    <w:p w14:paraId="1FFB8F86">
      <w:pPr>
        <w:ind w:firstLine="420" w:firstLineChars="200"/>
        <w:rPr>
          <w:color w:val="auto"/>
          <w:sz w:val="21"/>
          <w:szCs w:val="21"/>
        </w:rPr>
      </w:pPr>
      <w:r>
        <w:rPr>
          <w:rFonts w:hint="eastAsia"/>
          <w:color w:val="auto"/>
          <w:sz w:val="21"/>
          <w:szCs w:val="21"/>
        </w:rPr>
        <w:t>（</w:t>
      </w:r>
      <w:r>
        <w:rPr>
          <w:color w:val="auto"/>
          <w:sz w:val="21"/>
          <w:szCs w:val="21"/>
        </w:rPr>
        <w:t>4</w:t>
      </w:r>
      <w:r>
        <w:rPr>
          <w:rFonts w:hint="eastAsia"/>
          <w:color w:val="auto"/>
          <w:sz w:val="21"/>
          <w:szCs w:val="21"/>
        </w:rPr>
        <w:t>）值班员台</w:t>
      </w:r>
      <w:r>
        <w:rPr>
          <w:color w:val="auto"/>
          <w:sz w:val="21"/>
          <w:szCs w:val="21"/>
        </w:rPr>
        <w:t>OS</w:t>
      </w:r>
      <w:r>
        <w:rPr>
          <w:rFonts w:hint="eastAsia"/>
          <w:color w:val="auto"/>
          <w:sz w:val="21"/>
          <w:szCs w:val="21"/>
        </w:rPr>
        <w:t>采用</w:t>
      </w:r>
      <w:r>
        <w:rPr>
          <w:color w:val="auto"/>
          <w:sz w:val="21"/>
          <w:szCs w:val="21"/>
        </w:rPr>
        <w:t>android</w:t>
      </w:r>
      <w:r>
        <w:rPr>
          <w:rFonts w:hint="eastAsia"/>
          <w:color w:val="auto"/>
          <w:sz w:val="21"/>
          <w:szCs w:val="21"/>
        </w:rPr>
        <w:t>系统，具备升级功能；</w:t>
      </w:r>
    </w:p>
    <w:p w14:paraId="10BDD875">
      <w:pPr>
        <w:ind w:firstLine="420" w:firstLineChars="200"/>
        <w:rPr>
          <w:color w:val="auto"/>
          <w:sz w:val="21"/>
          <w:szCs w:val="21"/>
        </w:rPr>
      </w:pPr>
      <w:r>
        <w:rPr>
          <w:rFonts w:hint="eastAsia"/>
          <w:color w:val="auto"/>
          <w:sz w:val="21"/>
          <w:szCs w:val="21"/>
        </w:rPr>
        <w:t>（</w:t>
      </w:r>
      <w:r>
        <w:rPr>
          <w:color w:val="auto"/>
          <w:sz w:val="21"/>
          <w:szCs w:val="21"/>
        </w:rPr>
        <w:t>5</w:t>
      </w:r>
      <w:r>
        <w:rPr>
          <w:rFonts w:hint="eastAsia"/>
          <w:color w:val="auto"/>
          <w:sz w:val="21"/>
          <w:szCs w:val="21"/>
        </w:rPr>
        <w:t>）发起语音呼叫或者接收到呼叫语音时本地可进行录音；连续录音时长</w:t>
      </w:r>
      <w:r>
        <w:rPr>
          <w:rFonts w:hint="eastAsia" w:ascii="宋体" w:hAnsi="宋体"/>
          <w:color w:val="auto"/>
          <w:sz w:val="21"/>
          <w:szCs w:val="21"/>
        </w:rPr>
        <w:t>≥</w:t>
      </w:r>
      <w:r>
        <w:rPr>
          <w:color w:val="auto"/>
          <w:sz w:val="21"/>
          <w:szCs w:val="21"/>
        </w:rPr>
        <w:t>500</w:t>
      </w:r>
      <w:r>
        <w:rPr>
          <w:rFonts w:hint="eastAsia"/>
          <w:color w:val="auto"/>
          <w:sz w:val="21"/>
          <w:szCs w:val="21"/>
        </w:rPr>
        <w:t>小时；</w:t>
      </w:r>
    </w:p>
    <w:p w14:paraId="5E25ACA3">
      <w:pPr>
        <w:ind w:firstLine="420" w:firstLineChars="200"/>
        <w:rPr>
          <w:color w:val="auto"/>
          <w:sz w:val="21"/>
          <w:szCs w:val="21"/>
        </w:rPr>
      </w:pPr>
      <w:r>
        <w:rPr>
          <w:rFonts w:hint="eastAsia"/>
          <w:color w:val="auto"/>
          <w:sz w:val="21"/>
          <w:szCs w:val="21"/>
        </w:rPr>
        <w:t>（</w:t>
      </w:r>
      <w:r>
        <w:rPr>
          <w:color w:val="auto"/>
          <w:sz w:val="21"/>
          <w:szCs w:val="21"/>
        </w:rPr>
        <w:t>6</w:t>
      </w:r>
      <w:r>
        <w:rPr>
          <w:rFonts w:hint="eastAsia"/>
          <w:color w:val="auto"/>
          <w:sz w:val="21"/>
          <w:szCs w:val="21"/>
        </w:rPr>
        <w:t>）当接收到语音呼入时，语音通过内部扬声器放出，也可以拿起话筒手柄接听，此时扬声器静默；</w:t>
      </w:r>
    </w:p>
    <w:p w14:paraId="665CC287">
      <w:pPr>
        <w:ind w:firstLine="420" w:firstLineChars="200"/>
        <w:rPr>
          <w:color w:val="auto"/>
          <w:sz w:val="21"/>
          <w:szCs w:val="21"/>
        </w:rPr>
      </w:pPr>
      <w:r>
        <w:rPr>
          <w:rFonts w:hint="eastAsia"/>
          <w:color w:val="auto"/>
          <w:sz w:val="21"/>
          <w:szCs w:val="21"/>
        </w:rPr>
        <w:t>（</w:t>
      </w:r>
      <w:r>
        <w:rPr>
          <w:color w:val="auto"/>
          <w:sz w:val="21"/>
          <w:szCs w:val="21"/>
        </w:rPr>
        <w:t>7</w:t>
      </w:r>
      <w:r>
        <w:rPr>
          <w:rFonts w:hint="eastAsia"/>
          <w:color w:val="auto"/>
          <w:sz w:val="21"/>
          <w:szCs w:val="21"/>
        </w:rPr>
        <w:t>）侧面有</w:t>
      </w:r>
      <w:r>
        <w:rPr>
          <w:color w:val="auto"/>
          <w:sz w:val="21"/>
          <w:szCs w:val="21"/>
        </w:rPr>
        <w:t>USB</w:t>
      </w:r>
      <w:r>
        <w:rPr>
          <w:rFonts w:hint="eastAsia"/>
          <w:color w:val="auto"/>
          <w:sz w:val="21"/>
          <w:szCs w:val="21"/>
        </w:rPr>
        <w:t>接口可以连接键盘鼠标等进行调单操作，也可以通过触摸屏进行调单操作。</w:t>
      </w:r>
    </w:p>
    <w:p w14:paraId="0F9FA2AB">
      <w:pPr>
        <w:ind w:firstLine="420" w:firstLineChars="200"/>
        <w:rPr>
          <w:color w:val="auto"/>
          <w:sz w:val="21"/>
          <w:szCs w:val="21"/>
        </w:rPr>
      </w:pPr>
      <w:r>
        <w:rPr>
          <w:rFonts w:hint="eastAsia"/>
          <w:color w:val="auto"/>
          <w:sz w:val="21"/>
          <w:szCs w:val="21"/>
        </w:rPr>
        <w:t>（</w:t>
      </w:r>
      <w:r>
        <w:rPr>
          <w:color w:val="auto"/>
          <w:sz w:val="21"/>
          <w:szCs w:val="21"/>
        </w:rPr>
        <w:t>8</w:t>
      </w:r>
      <w:r>
        <w:rPr>
          <w:rFonts w:hint="eastAsia"/>
          <w:color w:val="auto"/>
          <w:sz w:val="21"/>
          <w:szCs w:val="21"/>
        </w:rPr>
        <w:t>）具备</w:t>
      </w:r>
      <w:r>
        <w:rPr>
          <w:color w:val="auto"/>
          <w:sz w:val="21"/>
          <w:szCs w:val="21"/>
        </w:rPr>
        <w:t>GPS/</w:t>
      </w:r>
      <w:r>
        <w:rPr>
          <w:rFonts w:hint="eastAsia"/>
          <w:color w:val="auto"/>
          <w:sz w:val="21"/>
          <w:szCs w:val="21"/>
        </w:rPr>
        <w:t>北斗机车运行动态轨迹显示功能。</w:t>
      </w:r>
    </w:p>
    <w:p w14:paraId="7A3023A1">
      <w:pPr>
        <w:ind w:firstLine="420" w:firstLineChars="200"/>
        <w:rPr>
          <w:color w:val="auto"/>
          <w:sz w:val="21"/>
          <w:szCs w:val="21"/>
        </w:rPr>
      </w:pPr>
      <w:r>
        <w:rPr>
          <w:rFonts w:hint="eastAsia"/>
          <w:color w:val="auto"/>
          <w:sz w:val="21"/>
          <w:szCs w:val="21"/>
        </w:rPr>
        <w:t>车站值班台技术指标不低于下表的要求：</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205"/>
        <w:gridCol w:w="6121"/>
      </w:tblGrid>
      <w:tr w14:paraId="6735DC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324" w:type="pct"/>
            <w:tcMar>
              <w:top w:w="0" w:type="dxa"/>
              <w:left w:w="0" w:type="dxa"/>
              <w:right w:w="0" w:type="dxa"/>
            </w:tcMar>
            <w:vAlign w:val="center"/>
          </w:tcPr>
          <w:p w14:paraId="23D3C975">
            <w:pPr>
              <w:snapToGrid w:val="0"/>
              <w:jc w:val="center"/>
              <w:rPr>
                <w:color w:val="auto"/>
                <w:sz w:val="21"/>
                <w:szCs w:val="21"/>
              </w:rPr>
            </w:pPr>
            <w:r>
              <w:rPr>
                <w:rFonts w:hint="eastAsia"/>
                <w:color w:val="auto"/>
                <w:sz w:val="21"/>
                <w:szCs w:val="21"/>
              </w:rPr>
              <w:t>规格名称</w:t>
            </w:r>
          </w:p>
        </w:tc>
        <w:tc>
          <w:tcPr>
            <w:tcW w:w="3676" w:type="pct"/>
            <w:tcMar>
              <w:top w:w="0" w:type="dxa"/>
              <w:left w:w="0" w:type="dxa"/>
              <w:right w:w="0" w:type="dxa"/>
            </w:tcMar>
            <w:vAlign w:val="center"/>
          </w:tcPr>
          <w:p w14:paraId="0EE44B9F">
            <w:pPr>
              <w:snapToGrid w:val="0"/>
              <w:jc w:val="center"/>
              <w:rPr>
                <w:color w:val="auto"/>
                <w:sz w:val="21"/>
                <w:szCs w:val="21"/>
              </w:rPr>
            </w:pPr>
            <w:r>
              <w:rPr>
                <w:rFonts w:hint="eastAsia"/>
                <w:color w:val="auto"/>
                <w:sz w:val="21"/>
                <w:szCs w:val="21"/>
              </w:rPr>
              <w:t>规  格</w:t>
            </w:r>
          </w:p>
        </w:tc>
      </w:tr>
      <w:tr w14:paraId="70E9CF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18589D6D">
            <w:pPr>
              <w:snapToGrid w:val="0"/>
              <w:jc w:val="center"/>
              <w:rPr>
                <w:color w:val="auto"/>
                <w:sz w:val="21"/>
                <w:szCs w:val="21"/>
              </w:rPr>
            </w:pPr>
            <w:r>
              <w:rPr>
                <w:rFonts w:hint="eastAsia"/>
                <w:color w:val="auto"/>
                <w:sz w:val="21"/>
                <w:szCs w:val="21"/>
              </w:rPr>
              <w:t>语音输出格式</w:t>
            </w:r>
          </w:p>
        </w:tc>
        <w:tc>
          <w:tcPr>
            <w:tcW w:w="3676" w:type="pct"/>
            <w:tcMar>
              <w:top w:w="0" w:type="dxa"/>
              <w:left w:w="0" w:type="dxa"/>
              <w:right w:w="0" w:type="dxa"/>
            </w:tcMar>
            <w:vAlign w:val="center"/>
          </w:tcPr>
          <w:p w14:paraId="1A9C154C">
            <w:pPr>
              <w:snapToGrid w:val="0"/>
              <w:jc w:val="center"/>
              <w:rPr>
                <w:color w:val="auto"/>
                <w:sz w:val="21"/>
                <w:szCs w:val="21"/>
              </w:rPr>
            </w:pPr>
            <w:r>
              <w:rPr>
                <w:rFonts w:hint="eastAsia"/>
                <w:color w:val="auto"/>
                <w:sz w:val="21"/>
                <w:szCs w:val="21"/>
              </w:rPr>
              <w:t>PCM 8K12 BIT</w:t>
            </w:r>
          </w:p>
        </w:tc>
      </w:tr>
      <w:tr w14:paraId="55E8E2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54B78E17">
            <w:pPr>
              <w:snapToGrid w:val="0"/>
              <w:jc w:val="center"/>
              <w:rPr>
                <w:color w:val="auto"/>
                <w:sz w:val="21"/>
                <w:szCs w:val="21"/>
              </w:rPr>
            </w:pPr>
            <w:r>
              <w:rPr>
                <w:rFonts w:hint="eastAsia"/>
                <w:color w:val="auto"/>
                <w:sz w:val="21"/>
                <w:szCs w:val="21"/>
              </w:rPr>
              <w:t>电源输入</w:t>
            </w:r>
          </w:p>
        </w:tc>
        <w:tc>
          <w:tcPr>
            <w:tcW w:w="3676" w:type="pct"/>
            <w:tcMar>
              <w:top w:w="0" w:type="dxa"/>
              <w:left w:w="0" w:type="dxa"/>
              <w:right w:w="0" w:type="dxa"/>
            </w:tcMar>
            <w:vAlign w:val="center"/>
          </w:tcPr>
          <w:p w14:paraId="20D2E6B1">
            <w:pPr>
              <w:snapToGrid w:val="0"/>
              <w:jc w:val="center"/>
              <w:rPr>
                <w:color w:val="auto"/>
                <w:sz w:val="21"/>
                <w:szCs w:val="21"/>
              </w:rPr>
            </w:pPr>
            <w:r>
              <w:rPr>
                <w:rFonts w:hint="eastAsia"/>
                <w:color w:val="auto"/>
                <w:sz w:val="21"/>
                <w:szCs w:val="21"/>
              </w:rPr>
              <w:t>220V AC</w:t>
            </w:r>
          </w:p>
        </w:tc>
      </w:tr>
      <w:tr w14:paraId="627391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6235E192">
            <w:pPr>
              <w:snapToGrid w:val="0"/>
              <w:jc w:val="center"/>
              <w:rPr>
                <w:color w:val="auto"/>
                <w:sz w:val="21"/>
                <w:szCs w:val="21"/>
              </w:rPr>
            </w:pPr>
            <w:r>
              <w:rPr>
                <w:rFonts w:hint="eastAsia"/>
                <w:color w:val="auto"/>
                <w:sz w:val="21"/>
                <w:szCs w:val="21"/>
              </w:rPr>
              <w:t>音频输出功率</w:t>
            </w:r>
          </w:p>
        </w:tc>
        <w:tc>
          <w:tcPr>
            <w:tcW w:w="3676" w:type="pct"/>
            <w:tcMar>
              <w:top w:w="0" w:type="dxa"/>
              <w:left w:w="0" w:type="dxa"/>
              <w:right w:w="0" w:type="dxa"/>
            </w:tcMar>
            <w:vAlign w:val="center"/>
          </w:tcPr>
          <w:p w14:paraId="481B82BE">
            <w:pPr>
              <w:snapToGrid w:val="0"/>
              <w:jc w:val="center"/>
              <w:rPr>
                <w:color w:val="auto"/>
                <w:sz w:val="21"/>
                <w:szCs w:val="21"/>
              </w:rPr>
            </w:pPr>
            <w:r>
              <w:rPr>
                <w:rFonts w:hint="eastAsia"/>
                <w:color w:val="auto"/>
                <w:sz w:val="21"/>
                <w:szCs w:val="21"/>
              </w:rPr>
              <w:t>5W 8OHM/ 2W 8OHM</w:t>
            </w:r>
          </w:p>
        </w:tc>
      </w:tr>
      <w:tr w14:paraId="51B6B0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06A7C3AF">
            <w:pPr>
              <w:snapToGrid w:val="0"/>
              <w:jc w:val="center"/>
              <w:rPr>
                <w:color w:val="auto"/>
                <w:sz w:val="21"/>
                <w:szCs w:val="21"/>
              </w:rPr>
            </w:pPr>
            <w:r>
              <w:rPr>
                <w:rFonts w:hint="eastAsia"/>
                <w:color w:val="auto"/>
                <w:sz w:val="21"/>
                <w:szCs w:val="21"/>
              </w:rPr>
              <w:t xml:space="preserve">台咪 </w:t>
            </w:r>
          </w:p>
        </w:tc>
        <w:tc>
          <w:tcPr>
            <w:tcW w:w="3676" w:type="pct"/>
            <w:tcMar>
              <w:top w:w="0" w:type="dxa"/>
              <w:left w:w="0" w:type="dxa"/>
              <w:right w:w="0" w:type="dxa"/>
            </w:tcMar>
            <w:vAlign w:val="center"/>
          </w:tcPr>
          <w:p w14:paraId="6D0AC865">
            <w:pPr>
              <w:snapToGrid w:val="0"/>
              <w:jc w:val="center"/>
              <w:rPr>
                <w:color w:val="auto"/>
                <w:sz w:val="21"/>
                <w:szCs w:val="21"/>
              </w:rPr>
            </w:pPr>
            <w:r>
              <w:rPr>
                <w:rFonts w:hint="eastAsia"/>
                <w:color w:val="auto"/>
                <w:sz w:val="21"/>
                <w:szCs w:val="21"/>
              </w:rPr>
              <w:t xml:space="preserve"> -36dBm台咪 带PTT功能</w:t>
            </w:r>
          </w:p>
        </w:tc>
      </w:tr>
      <w:tr w14:paraId="3B9063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68AD11BD">
            <w:pPr>
              <w:snapToGrid w:val="0"/>
              <w:jc w:val="center"/>
              <w:rPr>
                <w:color w:val="auto"/>
                <w:sz w:val="21"/>
                <w:szCs w:val="21"/>
              </w:rPr>
            </w:pPr>
            <w:r>
              <w:rPr>
                <w:rFonts w:hint="eastAsia"/>
                <w:color w:val="auto"/>
                <w:sz w:val="21"/>
                <w:szCs w:val="21"/>
              </w:rPr>
              <w:t>工作电流</w:t>
            </w:r>
          </w:p>
        </w:tc>
        <w:tc>
          <w:tcPr>
            <w:tcW w:w="3676" w:type="pct"/>
            <w:tcMar>
              <w:top w:w="0" w:type="dxa"/>
              <w:left w:w="0" w:type="dxa"/>
              <w:right w:w="0" w:type="dxa"/>
            </w:tcMar>
            <w:vAlign w:val="center"/>
          </w:tcPr>
          <w:p w14:paraId="528E639D">
            <w:pPr>
              <w:snapToGrid w:val="0"/>
              <w:jc w:val="center"/>
              <w:rPr>
                <w:color w:val="auto"/>
                <w:sz w:val="21"/>
                <w:szCs w:val="21"/>
              </w:rPr>
            </w:pPr>
            <w:r>
              <w:rPr>
                <w:rFonts w:hint="eastAsia"/>
                <w:color w:val="auto"/>
                <w:sz w:val="21"/>
                <w:szCs w:val="21"/>
              </w:rPr>
              <w:t>&lt;2A Max</w:t>
            </w:r>
          </w:p>
        </w:tc>
      </w:tr>
      <w:tr w14:paraId="3B5F73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2D4E299D">
            <w:pPr>
              <w:snapToGrid w:val="0"/>
              <w:jc w:val="center"/>
              <w:rPr>
                <w:color w:val="auto"/>
                <w:sz w:val="21"/>
                <w:szCs w:val="21"/>
              </w:rPr>
            </w:pPr>
            <w:r>
              <w:rPr>
                <w:rFonts w:hint="eastAsia"/>
                <w:color w:val="auto"/>
                <w:sz w:val="21"/>
                <w:szCs w:val="21"/>
              </w:rPr>
              <w:t>屏幕尺寸</w:t>
            </w:r>
          </w:p>
        </w:tc>
        <w:tc>
          <w:tcPr>
            <w:tcW w:w="3676" w:type="pct"/>
            <w:tcMar>
              <w:top w:w="0" w:type="dxa"/>
              <w:left w:w="0" w:type="dxa"/>
              <w:right w:w="0" w:type="dxa"/>
            </w:tcMar>
            <w:vAlign w:val="center"/>
          </w:tcPr>
          <w:p w14:paraId="2A9F467A">
            <w:pPr>
              <w:snapToGrid w:val="0"/>
              <w:jc w:val="center"/>
              <w:rPr>
                <w:color w:val="auto"/>
                <w:sz w:val="21"/>
                <w:szCs w:val="21"/>
              </w:rPr>
            </w:pPr>
            <w:r>
              <w:rPr>
                <w:rFonts w:hint="eastAsia"/>
                <w:color w:val="auto"/>
                <w:sz w:val="21"/>
                <w:szCs w:val="21"/>
              </w:rPr>
              <w:t>不小于12寸</w:t>
            </w:r>
          </w:p>
        </w:tc>
      </w:tr>
      <w:tr w14:paraId="628035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57CC18DF">
            <w:pPr>
              <w:snapToGrid w:val="0"/>
              <w:jc w:val="center"/>
              <w:rPr>
                <w:color w:val="auto"/>
                <w:sz w:val="21"/>
                <w:szCs w:val="21"/>
              </w:rPr>
            </w:pPr>
            <w:r>
              <w:rPr>
                <w:rFonts w:hint="eastAsia"/>
                <w:color w:val="auto"/>
                <w:sz w:val="21"/>
                <w:szCs w:val="21"/>
              </w:rPr>
              <w:t>工作温度</w:t>
            </w:r>
          </w:p>
        </w:tc>
        <w:tc>
          <w:tcPr>
            <w:tcW w:w="3676" w:type="pct"/>
            <w:tcMar>
              <w:top w:w="0" w:type="dxa"/>
              <w:left w:w="0" w:type="dxa"/>
              <w:right w:w="0" w:type="dxa"/>
            </w:tcMar>
            <w:vAlign w:val="center"/>
          </w:tcPr>
          <w:p w14:paraId="4BE31A99">
            <w:pPr>
              <w:snapToGrid w:val="0"/>
              <w:jc w:val="center"/>
              <w:rPr>
                <w:color w:val="auto"/>
                <w:sz w:val="21"/>
                <w:szCs w:val="21"/>
              </w:rPr>
            </w:pPr>
            <w:r>
              <w:rPr>
                <w:rFonts w:hint="eastAsia"/>
                <w:color w:val="auto"/>
                <w:sz w:val="21"/>
                <w:szCs w:val="21"/>
              </w:rPr>
              <w:t>-25</w:t>
            </w:r>
            <w:r>
              <w:rPr>
                <w:rFonts w:hint="eastAsia" w:ascii="宋体" w:hAnsi="宋体"/>
                <w:color w:val="auto"/>
                <w:sz w:val="21"/>
                <w:szCs w:val="21"/>
              </w:rPr>
              <w:t>～</w:t>
            </w:r>
            <w:r>
              <w:rPr>
                <w:rFonts w:hint="eastAsia"/>
                <w:color w:val="auto"/>
                <w:sz w:val="21"/>
                <w:szCs w:val="21"/>
              </w:rPr>
              <w:t>55℃</w:t>
            </w:r>
          </w:p>
        </w:tc>
      </w:tr>
      <w:tr w14:paraId="642CDC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00" w:type="pct"/>
            <w:gridSpan w:val="2"/>
            <w:tcMar>
              <w:top w:w="0" w:type="dxa"/>
              <w:left w:w="0" w:type="dxa"/>
              <w:right w:w="0" w:type="dxa"/>
            </w:tcMar>
            <w:vAlign w:val="center"/>
          </w:tcPr>
          <w:p w14:paraId="6B923CA1">
            <w:pPr>
              <w:snapToGrid w:val="0"/>
              <w:jc w:val="center"/>
              <w:rPr>
                <w:color w:val="auto"/>
                <w:sz w:val="21"/>
                <w:szCs w:val="21"/>
              </w:rPr>
            </w:pPr>
            <w:r>
              <w:rPr>
                <w:rFonts w:hint="eastAsia"/>
                <w:color w:val="auto"/>
                <w:sz w:val="21"/>
                <w:szCs w:val="21"/>
              </w:rPr>
              <w:t>接口</w:t>
            </w:r>
          </w:p>
        </w:tc>
      </w:tr>
      <w:tr w14:paraId="652540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280E703E">
            <w:pPr>
              <w:snapToGrid w:val="0"/>
              <w:jc w:val="center"/>
              <w:rPr>
                <w:color w:val="auto"/>
                <w:sz w:val="21"/>
                <w:szCs w:val="21"/>
              </w:rPr>
            </w:pPr>
            <w:r>
              <w:rPr>
                <w:rFonts w:hint="eastAsia"/>
                <w:color w:val="auto"/>
                <w:sz w:val="21"/>
                <w:szCs w:val="21"/>
              </w:rPr>
              <w:t>电源接口</w:t>
            </w:r>
          </w:p>
        </w:tc>
        <w:tc>
          <w:tcPr>
            <w:tcW w:w="3676" w:type="pct"/>
            <w:tcMar>
              <w:top w:w="0" w:type="dxa"/>
              <w:left w:w="0" w:type="dxa"/>
              <w:right w:w="0" w:type="dxa"/>
            </w:tcMar>
            <w:vAlign w:val="center"/>
          </w:tcPr>
          <w:p w14:paraId="4CF4C48D">
            <w:pPr>
              <w:snapToGrid w:val="0"/>
              <w:jc w:val="center"/>
              <w:rPr>
                <w:color w:val="auto"/>
                <w:sz w:val="21"/>
                <w:szCs w:val="21"/>
              </w:rPr>
            </w:pPr>
            <w:r>
              <w:rPr>
                <w:rFonts w:hint="eastAsia"/>
                <w:color w:val="auto"/>
                <w:sz w:val="21"/>
                <w:szCs w:val="21"/>
              </w:rPr>
              <w:t>2.5X5.5</w:t>
            </w:r>
          </w:p>
        </w:tc>
      </w:tr>
      <w:tr w14:paraId="713596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6131ABF6">
            <w:pPr>
              <w:snapToGrid w:val="0"/>
              <w:jc w:val="center"/>
              <w:rPr>
                <w:color w:val="auto"/>
                <w:sz w:val="21"/>
                <w:szCs w:val="21"/>
              </w:rPr>
            </w:pPr>
            <w:r>
              <w:rPr>
                <w:rFonts w:hint="eastAsia"/>
                <w:color w:val="auto"/>
                <w:sz w:val="21"/>
                <w:szCs w:val="21"/>
              </w:rPr>
              <w:t>网络接口</w:t>
            </w:r>
          </w:p>
        </w:tc>
        <w:tc>
          <w:tcPr>
            <w:tcW w:w="3676" w:type="pct"/>
            <w:tcMar>
              <w:top w:w="0" w:type="dxa"/>
              <w:left w:w="0" w:type="dxa"/>
              <w:right w:w="0" w:type="dxa"/>
            </w:tcMar>
            <w:vAlign w:val="center"/>
          </w:tcPr>
          <w:p w14:paraId="499EEEA2">
            <w:pPr>
              <w:snapToGrid w:val="0"/>
              <w:jc w:val="center"/>
              <w:rPr>
                <w:color w:val="auto"/>
                <w:sz w:val="21"/>
                <w:szCs w:val="21"/>
              </w:rPr>
            </w:pPr>
            <w:r>
              <w:rPr>
                <w:rFonts w:hint="eastAsia"/>
                <w:color w:val="auto"/>
                <w:sz w:val="21"/>
                <w:szCs w:val="21"/>
              </w:rPr>
              <w:t>RJ45 X1</w:t>
            </w:r>
          </w:p>
        </w:tc>
      </w:tr>
      <w:tr w14:paraId="6D25A5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2FE5B5D8">
            <w:pPr>
              <w:snapToGrid w:val="0"/>
              <w:jc w:val="center"/>
              <w:rPr>
                <w:color w:val="auto"/>
                <w:sz w:val="21"/>
                <w:szCs w:val="21"/>
              </w:rPr>
            </w:pPr>
            <w:r>
              <w:rPr>
                <w:rFonts w:hint="eastAsia"/>
                <w:color w:val="auto"/>
                <w:sz w:val="21"/>
                <w:szCs w:val="21"/>
              </w:rPr>
              <w:t>USB接口</w:t>
            </w:r>
          </w:p>
        </w:tc>
        <w:tc>
          <w:tcPr>
            <w:tcW w:w="3676" w:type="pct"/>
            <w:tcMar>
              <w:top w:w="0" w:type="dxa"/>
              <w:left w:w="0" w:type="dxa"/>
              <w:right w:w="0" w:type="dxa"/>
            </w:tcMar>
            <w:vAlign w:val="center"/>
          </w:tcPr>
          <w:p w14:paraId="1A7DF4D1">
            <w:pPr>
              <w:snapToGrid w:val="0"/>
              <w:jc w:val="center"/>
              <w:rPr>
                <w:color w:val="auto"/>
                <w:sz w:val="21"/>
                <w:szCs w:val="21"/>
              </w:rPr>
            </w:pPr>
            <w:r>
              <w:rPr>
                <w:rFonts w:hint="eastAsia"/>
                <w:color w:val="auto"/>
                <w:sz w:val="21"/>
                <w:szCs w:val="21"/>
              </w:rPr>
              <w:t>TYPE A 插座 X3</w:t>
            </w:r>
          </w:p>
        </w:tc>
      </w:tr>
      <w:tr w14:paraId="1C2C06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583CCD76">
            <w:pPr>
              <w:snapToGrid w:val="0"/>
              <w:jc w:val="center"/>
              <w:rPr>
                <w:color w:val="auto"/>
                <w:sz w:val="21"/>
                <w:szCs w:val="21"/>
              </w:rPr>
            </w:pPr>
            <w:r>
              <w:rPr>
                <w:rFonts w:hint="eastAsia"/>
                <w:color w:val="auto"/>
                <w:sz w:val="21"/>
                <w:szCs w:val="21"/>
              </w:rPr>
              <w:t>台咪</w:t>
            </w:r>
          </w:p>
        </w:tc>
        <w:tc>
          <w:tcPr>
            <w:tcW w:w="3676" w:type="pct"/>
            <w:tcMar>
              <w:top w:w="0" w:type="dxa"/>
              <w:left w:w="0" w:type="dxa"/>
              <w:right w:w="0" w:type="dxa"/>
            </w:tcMar>
            <w:vAlign w:val="center"/>
          </w:tcPr>
          <w:p w14:paraId="2FA3060E">
            <w:pPr>
              <w:snapToGrid w:val="0"/>
              <w:jc w:val="center"/>
              <w:rPr>
                <w:color w:val="auto"/>
                <w:sz w:val="21"/>
                <w:szCs w:val="21"/>
              </w:rPr>
            </w:pPr>
            <w:r>
              <w:rPr>
                <w:rFonts w:hint="eastAsia"/>
                <w:color w:val="auto"/>
                <w:sz w:val="21"/>
                <w:szCs w:val="21"/>
              </w:rPr>
              <w:t>4芯航插GX12-4  X1</w:t>
            </w:r>
          </w:p>
        </w:tc>
      </w:tr>
      <w:tr w14:paraId="23A951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601282A5">
            <w:pPr>
              <w:snapToGrid w:val="0"/>
              <w:jc w:val="center"/>
              <w:rPr>
                <w:color w:val="auto"/>
                <w:sz w:val="21"/>
                <w:szCs w:val="21"/>
              </w:rPr>
            </w:pPr>
            <w:r>
              <w:rPr>
                <w:rFonts w:hint="eastAsia"/>
                <w:color w:val="auto"/>
                <w:sz w:val="21"/>
                <w:szCs w:val="21"/>
              </w:rPr>
              <w:t>话柄</w:t>
            </w:r>
          </w:p>
        </w:tc>
        <w:tc>
          <w:tcPr>
            <w:tcW w:w="3676" w:type="pct"/>
            <w:tcMar>
              <w:top w:w="0" w:type="dxa"/>
              <w:left w:w="0" w:type="dxa"/>
              <w:right w:w="0" w:type="dxa"/>
            </w:tcMar>
            <w:vAlign w:val="center"/>
          </w:tcPr>
          <w:p w14:paraId="412AD7E5">
            <w:pPr>
              <w:snapToGrid w:val="0"/>
              <w:jc w:val="center"/>
              <w:rPr>
                <w:color w:val="auto"/>
                <w:sz w:val="21"/>
                <w:szCs w:val="21"/>
              </w:rPr>
            </w:pPr>
            <w:r>
              <w:rPr>
                <w:rFonts w:hint="eastAsia"/>
                <w:color w:val="auto"/>
                <w:sz w:val="21"/>
                <w:szCs w:val="21"/>
              </w:rPr>
              <w:t>4芯航插YC12-4 X1</w:t>
            </w:r>
          </w:p>
        </w:tc>
      </w:tr>
    </w:tbl>
    <w:p w14:paraId="31B69E25">
      <w:pPr>
        <w:spacing w:before="120"/>
        <w:ind w:firstLine="422" w:firstLineChars="200"/>
        <w:rPr>
          <w:rFonts w:hint="eastAsia" w:hAnsi="宋体"/>
          <w:b/>
          <w:bCs/>
          <w:color w:val="auto"/>
          <w:sz w:val="21"/>
          <w:szCs w:val="21"/>
        </w:rPr>
      </w:pPr>
      <w:r>
        <w:rPr>
          <w:rFonts w:hint="eastAsia"/>
          <w:b/>
          <w:bCs/>
          <w:color w:val="auto"/>
          <w:sz w:val="21"/>
          <w:szCs w:val="21"/>
        </w:rPr>
        <w:t>6.2</w:t>
      </w:r>
      <w:r>
        <w:rPr>
          <w:b/>
          <w:bCs/>
          <w:color w:val="auto"/>
          <w:sz w:val="21"/>
          <w:szCs w:val="21"/>
        </w:rPr>
        <w:t xml:space="preserve">.6  </w:t>
      </w:r>
      <w:r>
        <w:rPr>
          <w:rFonts w:hint="eastAsia" w:hAnsi="宋体"/>
          <w:b/>
          <w:bCs/>
          <w:color w:val="auto"/>
          <w:sz w:val="21"/>
          <w:szCs w:val="21"/>
        </w:rPr>
        <w:t>网管</w:t>
      </w:r>
    </w:p>
    <w:p w14:paraId="45DDCBE1">
      <w:pPr>
        <w:ind w:firstLine="420" w:firstLineChars="200"/>
        <w:rPr>
          <w:color w:val="auto"/>
          <w:sz w:val="21"/>
          <w:szCs w:val="21"/>
        </w:rPr>
      </w:pPr>
      <w:r>
        <w:rPr>
          <w:rFonts w:hint="eastAsia"/>
          <w:color w:val="auto"/>
          <w:sz w:val="21"/>
          <w:szCs w:val="21"/>
        </w:rPr>
        <w:t>无线行车通信网管</w:t>
      </w:r>
    </w:p>
    <w:p w14:paraId="68E359CB">
      <w:pPr>
        <w:ind w:firstLine="420" w:firstLineChars="200"/>
        <w:rPr>
          <w:color w:val="auto"/>
          <w:sz w:val="21"/>
          <w:szCs w:val="21"/>
        </w:rPr>
      </w:pPr>
      <w:r>
        <w:rPr>
          <w:rFonts w:hint="eastAsia"/>
          <w:color w:val="auto"/>
          <w:sz w:val="21"/>
          <w:szCs w:val="21"/>
        </w:rPr>
        <w:t>设备维护人员通过网管终端，可对无线行车通信系统中的设备进行实时监控，便于系统维护。功能要求：</w:t>
      </w:r>
    </w:p>
    <w:p w14:paraId="74F89F87">
      <w:pPr>
        <w:ind w:firstLine="420" w:firstLineChars="200"/>
        <w:rPr>
          <w:color w:val="auto"/>
          <w:sz w:val="21"/>
          <w:szCs w:val="21"/>
        </w:rPr>
      </w:pPr>
      <w:r>
        <w:rPr>
          <w:rFonts w:hint="eastAsia"/>
          <w:color w:val="auto"/>
          <w:sz w:val="21"/>
          <w:szCs w:val="21"/>
        </w:rPr>
        <w:t>（</w:t>
      </w:r>
      <w:r>
        <w:rPr>
          <w:color w:val="auto"/>
          <w:sz w:val="21"/>
          <w:szCs w:val="21"/>
        </w:rPr>
        <w:t>1</w:t>
      </w:r>
      <w:r>
        <w:rPr>
          <w:rFonts w:hint="eastAsia"/>
          <w:color w:val="auto"/>
          <w:sz w:val="21"/>
          <w:szCs w:val="21"/>
        </w:rPr>
        <w:t>）采用触摸屏操作，通过屏幕选择操作类型或操作菜单进行业务操作；</w:t>
      </w:r>
    </w:p>
    <w:p w14:paraId="010CF5A2">
      <w:pPr>
        <w:ind w:firstLine="420" w:firstLineChars="200"/>
        <w:rPr>
          <w:color w:val="auto"/>
          <w:sz w:val="21"/>
          <w:szCs w:val="21"/>
        </w:rPr>
      </w:pPr>
      <w:r>
        <w:rPr>
          <w:rFonts w:hint="eastAsia"/>
          <w:color w:val="auto"/>
          <w:sz w:val="21"/>
          <w:szCs w:val="21"/>
        </w:rPr>
        <w:t>（</w:t>
      </w:r>
      <w:r>
        <w:rPr>
          <w:color w:val="auto"/>
          <w:sz w:val="21"/>
          <w:szCs w:val="21"/>
        </w:rPr>
        <w:t>2</w:t>
      </w:r>
      <w:r>
        <w:rPr>
          <w:rFonts w:hint="eastAsia"/>
          <w:color w:val="auto"/>
          <w:sz w:val="21"/>
          <w:szCs w:val="21"/>
        </w:rPr>
        <w:t>）可实时查看各信道机设备在线、离线和链路状态；</w:t>
      </w:r>
    </w:p>
    <w:p w14:paraId="6937F76E">
      <w:pPr>
        <w:ind w:firstLine="420" w:firstLineChars="200"/>
        <w:rPr>
          <w:color w:val="auto"/>
          <w:sz w:val="21"/>
          <w:szCs w:val="21"/>
        </w:rPr>
      </w:pPr>
      <w:r>
        <w:rPr>
          <w:rFonts w:hint="eastAsia"/>
          <w:color w:val="auto"/>
          <w:sz w:val="21"/>
          <w:szCs w:val="21"/>
        </w:rPr>
        <w:t>（</w:t>
      </w:r>
      <w:r>
        <w:rPr>
          <w:color w:val="auto"/>
          <w:sz w:val="21"/>
          <w:szCs w:val="21"/>
        </w:rPr>
        <w:t>3</w:t>
      </w:r>
      <w:r>
        <w:rPr>
          <w:rFonts w:hint="eastAsia"/>
          <w:color w:val="auto"/>
          <w:sz w:val="21"/>
          <w:szCs w:val="21"/>
        </w:rPr>
        <w:t>）可查看系统各信道机设备的版本、设备</w:t>
      </w:r>
      <w:r>
        <w:rPr>
          <w:color w:val="auto"/>
          <w:sz w:val="21"/>
          <w:szCs w:val="21"/>
        </w:rPr>
        <w:t>ID</w:t>
      </w:r>
      <w:r>
        <w:rPr>
          <w:rFonts w:hint="eastAsia"/>
          <w:color w:val="auto"/>
          <w:sz w:val="21"/>
          <w:szCs w:val="21"/>
        </w:rPr>
        <w:t>等信息；</w:t>
      </w:r>
    </w:p>
    <w:p w14:paraId="231C1DEA">
      <w:pPr>
        <w:ind w:firstLine="420" w:firstLineChars="200"/>
        <w:rPr>
          <w:color w:val="auto"/>
          <w:sz w:val="21"/>
          <w:szCs w:val="21"/>
        </w:rPr>
      </w:pPr>
      <w:r>
        <w:rPr>
          <w:rFonts w:hint="eastAsia"/>
          <w:color w:val="auto"/>
          <w:sz w:val="21"/>
          <w:szCs w:val="21"/>
        </w:rPr>
        <w:t>（</w:t>
      </w:r>
      <w:r>
        <w:rPr>
          <w:color w:val="auto"/>
          <w:sz w:val="21"/>
          <w:szCs w:val="21"/>
        </w:rPr>
        <w:t>4</w:t>
      </w:r>
      <w:r>
        <w:rPr>
          <w:rFonts w:hint="eastAsia"/>
          <w:color w:val="auto"/>
          <w:sz w:val="21"/>
          <w:szCs w:val="21"/>
        </w:rPr>
        <w:t>）语音、数据和信令通过网口进行</w:t>
      </w:r>
      <w:r>
        <w:rPr>
          <w:color w:val="auto"/>
          <w:sz w:val="21"/>
          <w:szCs w:val="21"/>
        </w:rPr>
        <w:t>IP</w:t>
      </w:r>
      <w:r>
        <w:rPr>
          <w:rFonts w:hint="eastAsia"/>
          <w:color w:val="auto"/>
          <w:sz w:val="21"/>
          <w:szCs w:val="21"/>
        </w:rPr>
        <w:t>交互；</w:t>
      </w:r>
    </w:p>
    <w:p w14:paraId="08B46EFB">
      <w:pPr>
        <w:ind w:firstLine="420" w:firstLineChars="200"/>
        <w:rPr>
          <w:color w:val="auto"/>
          <w:sz w:val="21"/>
          <w:szCs w:val="21"/>
        </w:rPr>
      </w:pPr>
      <w:r>
        <w:rPr>
          <w:rFonts w:hint="eastAsia"/>
          <w:color w:val="auto"/>
          <w:sz w:val="21"/>
          <w:szCs w:val="21"/>
        </w:rPr>
        <w:t>（</w:t>
      </w:r>
      <w:r>
        <w:rPr>
          <w:color w:val="auto"/>
          <w:sz w:val="21"/>
          <w:szCs w:val="21"/>
        </w:rPr>
        <w:t>5</w:t>
      </w:r>
      <w:r>
        <w:rPr>
          <w:rFonts w:hint="eastAsia"/>
          <w:color w:val="auto"/>
          <w:sz w:val="21"/>
          <w:szCs w:val="21"/>
        </w:rPr>
        <w:t>）值班员台</w:t>
      </w:r>
      <w:r>
        <w:rPr>
          <w:color w:val="auto"/>
          <w:sz w:val="21"/>
          <w:szCs w:val="21"/>
        </w:rPr>
        <w:t>OS</w:t>
      </w:r>
      <w:r>
        <w:rPr>
          <w:rFonts w:hint="eastAsia"/>
          <w:color w:val="auto"/>
          <w:sz w:val="21"/>
          <w:szCs w:val="21"/>
        </w:rPr>
        <w:t>采用</w:t>
      </w:r>
      <w:r>
        <w:rPr>
          <w:color w:val="auto"/>
          <w:sz w:val="21"/>
          <w:szCs w:val="21"/>
        </w:rPr>
        <w:t>android</w:t>
      </w:r>
      <w:r>
        <w:rPr>
          <w:rFonts w:hint="eastAsia"/>
          <w:color w:val="auto"/>
          <w:sz w:val="21"/>
          <w:szCs w:val="21"/>
        </w:rPr>
        <w:t>系统，具备升级功能；</w:t>
      </w:r>
    </w:p>
    <w:p w14:paraId="0D1245EA">
      <w:pPr>
        <w:ind w:firstLine="420" w:firstLineChars="200"/>
        <w:rPr>
          <w:color w:val="auto"/>
          <w:sz w:val="21"/>
          <w:szCs w:val="21"/>
        </w:rPr>
      </w:pPr>
      <w:r>
        <w:rPr>
          <w:rFonts w:hint="eastAsia"/>
          <w:color w:val="auto"/>
          <w:sz w:val="21"/>
          <w:szCs w:val="21"/>
        </w:rPr>
        <w:t>（</w:t>
      </w:r>
      <w:r>
        <w:rPr>
          <w:color w:val="auto"/>
          <w:sz w:val="21"/>
          <w:szCs w:val="21"/>
        </w:rPr>
        <w:t>6</w:t>
      </w:r>
      <w:r>
        <w:rPr>
          <w:rFonts w:hint="eastAsia"/>
          <w:color w:val="auto"/>
          <w:sz w:val="21"/>
          <w:szCs w:val="21"/>
        </w:rPr>
        <w:t>）系统连续录音时长</w:t>
      </w:r>
      <w:r>
        <w:rPr>
          <w:rFonts w:hint="eastAsia" w:ascii="宋体" w:hAnsi="宋体"/>
          <w:color w:val="auto"/>
          <w:sz w:val="21"/>
          <w:szCs w:val="21"/>
        </w:rPr>
        <w:t>≥</w:t>
      </w:r>
      <w:r>
        <w:rPr>
          <w:color w:val="auto"/>
          <w:sz w:val="21"/>
          <w:szCs w:val="21"/>
        </w:rPr>
        <w:t>500</w:t>
      </w:r>
      <w:r>
        <w:rPr>
          <w:rFonts w:hint="eastAsia"/>
          <w:color w:val="auto"/>
          <w:sz w:val="21"/>
          <w:szCs w:val="21"/>
        </w:rPr>
        <w:t>小时；</w:t>
      </w:r>
    </w:p>
    <w:p w14:paraId="1110D45D">
      <w:pPr>
        <w:ind w:firstLine="420" w:firstLineChars="200"/>
        <w:rPr>
          <w:color w:val="auto"/>
          <w:sz w:val="21"/>
          <w:szCs w:val="21"/>
        </w:rPr>
      </w:pPr>
      <w:r>
        <w:rPr>
          <w:rFonts w:hint="eastAsia"/>
          <w:color w:val="auto"/>
          <w:sz w:val="21"/>
          <w:szCs w:val="21"/>
        </w:rPr>
        <w:t>（</w:t>
      </w:r>
      <w:r>
        <w:rPr>
          <w:color w:val="auto"/>
          <w:sz w:val="21"/>
          <w:szCs w:val="21"/>
        </w:rPr>
        <w:t>7</w:t>
      </w:r>
      <w:r>
        <w:rPr>
          <w:rFonts w:hint="eastAsia"/>
          <w:color w:val="auto"/>
          <w:sz w:val="21"/>
          <w:szCs w:val="21"/>
        </w:rPr>
        <w:t>）当录音回放时，语音通过内部扬声器放出，也可以拿起话筒手柄接听，此时扬声器静默；</w:t>
      </w:r>
    </w:p>
    <w:p w14:paraId="4DAFA9A8">
      <w:pPr>
        <w:ind w:firstLine="420" w:firstLineChars="200"/>
        <w:rPr>
          <w:color w:val="auto"/>
          <w:sz w:val="21"/>
          <w:szCs w:val="21"/>
        </w:rPr>
      </w:pPr>
      <w:r>
        <w:rPr>
          <w:rFonts w:hint="eastAsia"/>
          <w:color w:val="auto"/>
          <w:sz w:val="21"/>
          <w:szCs w:val="21"/>
        </w:rPr>
        <w:t>（</w:t>
      </w:r>
      <w:r>
        <w:rPr>
          <w:color w:val="auto"/>
          <w:sz w:val="21"/>
          <w:szCs w:val="21"/>
        </w:rPr>
        <w:t>8</w:t>
      </w:r>
      <w:r>
        <w:rPr>
          <w:rFonts w:hint="eastAsia"/>
          <w:color w:val="auto"/>
          <w:sz w:val="21"/>
          <w:szCs w:val="21"/>
        </w:rPr>
        <w:t>）侧面有</w:t>
      </w:r>
      <w:r>
        <w:rPr>
          <w:color w:val="auto"/>
          <w:sz w:val="21"/>
          <w:szCs w:val="21"/>
        </w:rPr>
        <w:t>USB</w:t>
      </w:r>
      <w:r>
        <w:rPr>
          <w:rFonts w:hint="eastAsia"/>
          <w:color w:val="auto"/>
          <w:sz w:val="21"/>
          <w:szCs w:val="21"/>
        </w:rPr>
        <w:t>接口可以连接键盘鼠标等进行调单操作，也可以通过触摸屏进行调单操作。</w:t>
      </w:r>
    </w:p>
    <w:p w14:paraId="670C82DF">
      <w:pPr>
        <w:ind w:firstLine="420" w:firstLineChars="200"/>
        <w:rPr>
          <w:color w:val="auto"/>
          <w:sz w:val="21"/>
          <w:szCs w:val="21"/>
        </w:rPr>
      </w:pPr>
      <w:r>
        <w:rPr>
          <w:rFonts w:hint="eastAsia"/>
          <w:color w:val="auto"/>
          <w:sz w:val="21"/>
          <w:szCs w:val="21"/>
        </w:rPr>
        <w:t>无线行车通信网管技术指标及配置不低于下表的要求：</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205"/>
        <w:gridCol w:w="6121"/>
      </w:tblGrid>
      <w:tr w14:paraId="5F02BD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324" w:type="pct"/>
            <w:tcMar>
              <w:top w:w="0" w:type="dxa"/>
              <w:left w:w="0" w:type="dxa"/>
              <w:right w:w="0" w:type="dxa"/>
            </w:tcMar>
            <w:vAlign w:val="center"/>
          </w:tcPr>
          <w:p w14:paraId="660593FB">
            <w:pPr>
              <w:snapToGrid w:val="0"/>
              <w:jc w:val="center"/>
              <w:rPr>
                <w:color w:val="auto"/>
                <w:sz w:val="21"/>
                <w:szCs w:val="21"/>
              </w:rPr>
            </w:pPr>
            <w:r>
              <w:rPr>
                <w:rFonts w:hint="eastAsia"/>
                <w:color w:val="auto"/>
                <w:sz w:val="21"/>
                <w:szCs w:val="21"/>
              </w:rPr>
              <w:t>规格名称</w:t>
            </w:r>
          </w:p>
        </w:tc>
        <w:tc>
          <w:tcPr>
            <w:tcW w:w="3676" w:type="pct"/>
            <w:tcMar>
              <w:top w:w="0" w:type="dxa"/>
              <w:left w:w="0" w:type="dxa"/>
              <w:right w:w="0" w:type="dxa"/>
            </w:tcMar>
            <w:vAlign w:val="center"/>
          </w:tcPr>
          <w:p w14:paraId="7F0ADE65">
            <w:pPr>
              <w:snapToGrid w:val="0"/>
              <w:jc w:val="center"/>
              <w:rPr>
                <w:color w:val="auto"/>
                <w:sz w:val="21"/>
                <w:szCs w:val="21"/>
              </w:rPr>
            </w:pPr>
            <w:r>
              <w:rPr>
                <w:rFonts w:hint="eastAsia"/>
                <w:color w:val="auto"/>
                <w:sz w:val="21"/>
                <w:szCs w:val="21"/>
              </w:rPr>
              <w:t>规  格</w:t>
            </w:r>
          </w:p>
        </w:tc>
      </w:tr>
      <w:tr w14:paraId="1AB29A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07215F1E">
            <w:pPr>
              <w:snapToGrid w:val="0"/>
              <w:jc w:val="center"/>
              <w:rPr>
                <w:color w:val="auto"/>
                <w:sz w:val="21"/>
                <w:szCs w:val="21"/>
              </w:rPr>
            </w:pPr>
            <w:r>
              <w:rPr>
                <w:rFonts w:hint="eastAsia"/>
                <w:color w:val="auto"/>
                <w:sz w:val="21"/>
                <w:szCs w:val="21"/>
              </w:rPr>
              <w:t>语音输出格式</w:t>
            </w:r>
          </w:p>
        </w:tc>
        <w:tc>
          <w:tcPr>
            <w:tcW w:w="3676" w:type="pct"/>
            <w:tcMar>
              <w:top w:w="0" w:type="dxa"/>
              <w:left w:w="0" w:type="dxa"/>
              <w:right w:w="0" w:type="dxa"/>
            </w:tcMar>
            <w:vAlign w:val="center"/>
          </w:tcPr>
          <w:p w14:paraId="264AB29B">
            <w:pPr>
              <w:snapToGrid w:val="0"/>
              <w:jc w:val="center"/>
              <w:rPr>
                <w:color w:val="auto"/>
                <w:sz w:val="21"/>
                <w:szCs w:val="21"/>
              </w:rPr>
            </w:pPr>
            <w:r>
              <w:rPr>
                <w:rFonts w:hint="eastAsia"/>
                <w:color w:val="auto"/>
                <w:sz w:val="21"/>
                <w:szCs w:val="21"/>
              </w:rPr>
              <w:t>PCM 8K12 BIT</w:t>
            </w:r>
          </w:p>
        </w:tc>
      </w:tr>
      <w:tr w14:paraId="590CE1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50D7874B">
            <w:pPr>
              <w:snapToGrid w:val="0"/>
              <w:jc w:val="center"/>
              <w:rPr>
                <w:color w:val="auto"/>
                <w:sz w:val="21"/>
                <w:szCs w:val="21"/>
              </w:rPr>
            </w:pPr>
            <w:r>
              <w:rPr>
                <w:rFonts w:hint="eastAsia"/>
                <w:color w:val="auto"/>
                <w:sz w:val="21"/>
                <w:szCs w:val="21"/>
              </w:rPr>
              <w:t>电源输入</w:t>
            </w:r>
          </w:p>
        </w:tc>
        <w:tc>
          <w:tcPr>
            <w:tcW w:w="3676" w:type="pct"/>
            <w:tcMar>
              <w:top w:w="0" w:type="dxa"/>
              <w:left w:w="0" w:type="dxa"/>
              <w:right w:w="0" w:type="dxa"/>
            </w:tcMar>
            <w:vAlign w:val="center"/>
          </w:tcPr>
          <w:p w14:paraId="776E2EF8">
            <w:pPr>
              <w:snapToGrid w:val="0"/>
              <w:jc w:val="center"/>
              <w:rPr>
                <w:color w:val="auto"/>
                <w:sz w:val="21"/>
                <w:szCs w:val="21"/>
              </w:rPr>
            </w:pPr>
            <w:r>
              <w:rPr>
                <w:rFonts w:hint="eastAsia"/>
                <w:color w:val="auto"/>
                <w:sz w:val="21"/>
                <w:szCs w:val="21"/>
              </w:rPr>
              <w:t>220V AC</w:t>
            </w:r>
          </w:p>
        </w:tc>
      </w:tr>
      <w:tr w14:paraId="1F5283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5E30B37D">
            <w:pPr>
              <w:snapToGrid w:val="0"/>
              <w:jc w:val="center"/>
              <w:rPr>
                <w:color w:val="auto"/>
                <w:sz w:val="21"/>
                <w:szCs w:val="21"/>
              </w:rPr>
            </w:pPr>
            <w:r>
              <w:rPr>
                <w:rFonts w:hint="eastAsia"/>
                <w:color w:val="auto"/>
                <w:sz w:val="21"/>
                <w:szCs w:val="21"/>
              </w:rPr>
              <w:t>音频输出功率</w:t>
            </w:r>
          </w:p>
        </w:tc>
        <w:tc>
          <w:tcPr>
            <w:tcW w:w="3676" w:type="pct"/>
            <w:tcMar>
              <w:top w:w="0" w:type="dxa"/>
              <w:left w:w="0" w:type="dxa"/>
              <w:right w:w="0" w:type="dxa"/>
            </w:tcMar>
            <w:vAlign w:val="center"/>
          </w:tcPr>
          <w:p w14:paraId="0D62B8A7">
            <w:pPr>
              <w:snapToGrid w:val="0"/>
              <w:jc w:val="center"/>
              <w:rPr>
                <w:color w:val="auto"/>
                <w:sz w:val="21"/>
                <w:szCs w:val="21"/>
              </w:rPr>
            </w:pPr>
            <w:r>
              <w:rPr>
                <w:rFonts w:hint="eastAsia"/>
                <w:color w:val="auto"/>
                <w:sz w:val="21"/>
                <w:szCs w:val="21"/>
              </w:rPr>
              <w:t>5W 8OHM/ 2W 8OHM</w:t>
            </w:r>
          </w:p>
        </w:tc>
      </w:tr>
      <w:tr w14:paraId="32D277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3B9B3FB0">
            <w:pPr>
              <w:snapToGrid w:val="0"/>
              <w:jc w:val="center"/>
              <w:rPr>
                <w:color w:val="auto"/>
                <w:sz w:val="21"/>
                <w:szCs w:val="21"/>
              </w:rPr>
            </w:pPr>
            <w:r>
              <w:rPr>
                <w:rFonts w:hint="eastAsia"/>
                <w:color w:val="auto"/>
                <w:sz w:val="21"/>
                <w:szCs w:val="21"/>
              </w:rPr>
              <w:t>工作电流</w:t>
            </w:r>
          </w:p>
        </w:tc>
        <w:tc>
          <w:tcPr>
            <w:tcW w:w="3676" w:type="pct"/>
            <w:tcMar>
              <w:top w:w="0" w:type="dxa"/>
              <w:left w:w="0" w:type="dxa"/>
              <w:right w:w="0" w:type="dxa"/>
            </w:tcMar>
            <w:vAlign w:val="center"/>
          </w:tcPr>
          <w:p w14:paraId="4DE705B3">
            <w:pPr>
              <w:snapToGrid w:val="0"/>
              <w:jc w:val="center"/>
              <w:rPr>
                <w:color w:val="auto"/>
                <w:sz w:val="21"/>
                <w:szCs w:val="21"/>
              </w:rPr>
            </w:pPr>
            <w:r>
              <w:rPr>
                <w:rFonts w:hint="eastAsia"/>
                <w:color w:val="auto"/>
                <w:sz w:val="21"/>
                <w:szCs w:val="21"/>
              </w:rPr>
              <w:t>&lt;2A Max</w:t>
            </w:r>
          </w:p>
        </w:tc>
      </w:tr>
      <w:tr w14:paraId="6173C0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4F4AA9CC">
            <w:pPr>
              <w:snapToGrid w:val="0"/>
              <w:jc w:val="center"/>
              <w:rPr>
                <w:color w:val="auto"/>
                <w:sz w:val="21"/>
                <w:szCs w:val="21"/>
              </w:rPr>
            </w:pPr>
            <w:r>
              <w:rPr>
                <w:rFonts w:hint="eastAsia"/>
                <w:color w:val="auto"/>
                <w:sz w:val="21"/>
                <w:szCs w:val="21"/>
              </w:rPr>
              <w:t>屏幕尺寸</w:t>
            </w:r>
          </w:p>
        </w:tc>
        <w:tc>
          <w:tcPr>
            <w:tcW w:w="3676" w:type="pct"/>
            <w:tcMar>
              <w:top w:w="0" w:type="dxa"/>
              <w:left w:w="0" w:type="dxa"/>
              <w:right w:w="0" w:type="dxa"/>
            </w:tcMar>
            <w:vAlign w:val="center"/>
          </w:tcPr>
          <w:p w14:paraId="7E60C508">
            <w:pPr>
              <w:snapToGrid w:val="0"/>
              <w:jc w:val="center"/>
              <w:rPr>
                <w:color w:val="auto"/>
                <w:sz w:val="21"/>
                <w:szCs w:val="21"/>
              </w:rPr>
            </w:pPr>
            <w:r>
              <w:rPr>
                <w:rFonts w:hint="eastAsia"/>
                <w:color w:val="auto"/>
                <w:sz w:val="21"/>
                <w:szCs w:val="21"/>
              </w:rPr>
              <w:t>不小于12寸</w:t>
            </w:r>
          </w:p>
        </w:tc>
      </w:tr>
      <w:tr w14:paraId="71B150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30AD3E21">
            <w:pPr>
              <w:snapToGrid w:val="0"/>
              <w:jc w:val="center"/>
              <w:rPr>
                <w:color w:val="auto"/>
                <w:sz w:val="21"/>
                <w:szCs w:val="21"/>
              </w:rPr>
            </w:pPr>
            <w:r>
              <w:rPr>
                <w:rFonts w:hint="eastAsia"/>
                <w:color w:val="auto"/>
                <w:sz w:val="21"/>
                <w:szCs w:val="21"/>
              </w:rPr>
              <w:t>工作温度</w:t>
            </w:r>
          </w:p>
        </w:tc>
        <w:tc>
          <w:tcPr>
            <w:tcW w:w="3676" w:type="pct"/>
            <w:tcMar>
              <w:top w:w="0" w:type="dxa"/>
              <w:left w:w="0" w:type="dxa"/>
              <w:right w:w="0" w:type="dxa"/>
            </w:tcMar>
            <w:vAlign w:val="center"/>
          </w:tcPr>
          <w:p w14:paraId="013537FB">
            <w:pPr>
              <w:snapToGrid w:val="0"/>
              <w:jc w:val="center"/>
              <w:rPr>
                <w:color w:val="auto"/>
                <w:sz w:val="21"/>
                <w:szCs w:val="21"/>
              </w:rPr>
            </w:pPr>
            <w:r>
              <w:rPr>
                <w:rFonts w:hint="eastAsia"/>
                <w:color w:val="auto"/>
                <w:sz w:val="21"/>
                <w:szCs w:val="21"/>
              </w:rPr>
              <w:t>-25</w:t>
            </w:r>
            <w:r>
              <w:rPr>
                <w:rFonts w:hint="eastAsia" w:ascii="宋体" w:hAnsi="宋体"/>
                <w:color w:val="auto"/>
                <w:sz w:val="21"/>
                <w:szCs w:val="21"/>
              </w:rPr>
              <w:t>～</w:t>
            </w:r>
            <w:r>
              <w:rPr>
                <w:rFonts w:hint="eastAsia"/>
                <w:color w:val="auto"/>
                <w:sz w:val="21"/>
                <w:szCs w:val="21"/>
              </w:rPr>
              <w:t>55℃</w:t>
            </w:r>
          </w:p>
        </w:tc>
      </w:tr>
      <w:tr w14:paraId="74096A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00" w:type="pct"/>
            <w:gridSpan w:val="2"/>
            <w:tcMar>
              <w:top w:w="0" w:type="dxa"/>
              <w:left w:w="0" w:type="dxa"/>
              <w:right w:w="0" w:type="dxa"/>
            </w:tcMar>
            <w:vAlign w:val="center"/>
          </w:tcPr>
          <w:p w14:paraId="3A629C0D">
            <w:pPr>
              <w:snapToGrid w:val="0"/>
              <w:jc w:val="center"/>
              <w:rPr>
                <w:color w:val="auto"/>
                <w:sz w:val="21"/>
                <w:szCs w:val="21"/>
              </w:rPr>
            </w:pPr>
            <w:r>
              <w:rPr>
                <w:rFonts w:hint="eastAsia"/>
                <w:color w:val="auto"/>
                <w:sz w:val="21"/>
                <w:szCs w:val="21"/>
              </w:rPr>
              <w:t>接口</w:t>
            </w:r>
          </w:p>
        </w:tc>
      </w:tr>
      <w:tr w14:paraId="2C998F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2840D68F">
            <w:pPr>
              <w:snapToGrid w:val="0"/>
              <w:jc w:val="center"/>
              <w:rPr>
                <w:color w:val="auto"/>
                <w:sz w:val="21"/>
                <w:szCs w:val="21"/>
              </w:rPr>
            </w:pPr>
            <w:r>
              <w:rPr>
                <w:rFonts w:hint="eastAsia"/>
                <w:color w:val="auto"/>
                <w:sz w:val="21"/>
                <w:szCs w:val="21"/>
              </w:rPr>
              <w:t>电源接口</w:t>
            </w:r>
          </w:p>
        </w:tc>
        <w:tc>
          <w:tcPr>
            <w:tcW w:w="3676" w:type="pct"/>
            <w:tcMar>
              <w:top w:w="0" w:type="dxa"/>
              <w:left w:w="0" w:type="dxa"/>
              <w:right w:w="0" w:type="dxa"/>
            </w:tcMar>
            <w:vAlign w:val="center"/>
          </w:tcPr>
          <w:p w14:paraId="5A73EEB6">
            <w:pPr>
              <w:snapToGrid w:val="0"/>
              <w:jc w:val="center"/>
              <w:rPr>
                <w:color w:val="auto"/>
                <w:sz w:val="21"/>
                <w:szCs w:val="21"/>
              </w:rPr>
            </w:pPr>
            <w:r>
              <w:rPr>
                <w:rFonts w:hint="eastAsia"/>
                <w:color w:val="auto"/>
                <w:sz w:val="21"/>
                <w:szCs w:val="21"/>
              </w:rPr>
              <w:t>2.5X5.5</w:t>
            </w:r>
          </w:p>
        </w:tc>
      </w:tr>
      <w:tr w14:paraId="3C1E30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1A31D427">
            <w:pPr>
              <w:snapToGrid w:val="0"/>
              <w:jc w:val="center"/>
              <w:rPr>
                <w:color w:val="auto"/>
                <w:sz w:val="21"/>
                <w:szCs w:val="21"/>
              </w:rPr>
            </w:pPr>
            <w:r>
              <w:rPr>
                <w:rFonts w:hint="eastAsia"/>
                <w:color w:val="auto"/>
                <w:sz w:val="21"/>
                <w:szCs w:val="21"/>
              </w:rPr>
              <w:t>网络接口</w:t>
            </w:r>
          </w:p>
        </w:tc>
        <w:tc>
          <w:tcPr>
            <w:tcW w:w="3676" w:type="pct"/>
            <w:tcMar>
              <w:top w:w="0" w:type="dxa"/>
              <w:left w:w="0" w:type="dxa"/>
              <w:right w:w="0" w:type="dxa"/>
            </w:tcMar>
            <w:vAlign w:val="center"/>
          </w:tcPr>
          <w:p w14:paraId="04A4AA19">
            <w:pPr>
              <w:snapToGrid w:val="0"/>
              <w:jc w:val="center"/>
              <w:rPr>
                <w:color w:val="auto"/>
                <w:sz w:val="21"/>
                <w:szCs w:val="21"/>
              </w:rPr>
            </w:pPr>
            <w:r>
              <w:rPr>
                <w:rFonts w:hint="eastAsia"/>
                <w:color w:val="auto"/>
                <w:sz w:val="21"/>
                <w:szCs w:val="21"/>
              </w:rPr>
              <w:t>RJ45 X1</w:t>
            </w:r>
          </w:p>
        </w:tc>
      </w:tr>
      <w:tr w14:paraId="0361F0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24" w:type="pct"/>
            <w:tcMar>
              <w:top w:w="0" w:type="dxa"/>
              <w:left w:w="0" w:type="dxa"/>
              <w:right w:w="0" w:type="dxa"/>
            </w:tcMar>
            <w:vAlign w:val="center"/>
          </w:tcPr>
          <w:p w14:paraId="6D4929D4">
            <w:pPr>
              <w:snapToGrid w:val="0"/>
              <w:jc w:val="center"/>
              <w:rPr>
                <w:color w:val="auto"/>
                <w:sz w:val="21"/>
                <w:szCs w:val="21"/>
              </w:rPr>
            </w:pPr>
            <w:r>
              <w:rPr>
                <w:rFonts w:hint="eastAsia"/>
                <w:color w:val="auto"/>
                <w:sz w:val="21"/>
                <w:szCs w:val="21"/>
              </w:rPr>
              <w:t>USB接口</w:t>
            </w:r>
          </w:p>
        </w:tc>
        <w:tc>
          <w:tcPr>
            <w:tcW w:w="3676" w:type="pct"/>
            <w:tcMar>
              <w:top w:w="0" w:type="dxa"/>
              <w:left w:w="0" w:type="dxa"/>
              <w:right w:w="0" w:type="dxa"/>
            </w:tcMar>
            <w:vAlign w:val="center"/>
          </w:tcPr>
          <w:p w14:paraId="2AD68967">
            <w:pPr>
              <w:snapToGrid w:val="0"/>
              <w:jc w:val="center"/>
              <w:rPr>
                <w:color w:val="auto"/>
                <w:sz w:val="21"/>
                <w:szCs w:val="21"/>
              </w:rPr>
            </w:pPr>
            <w:r>
              <w:rPr>
                <w:rFonts w:hint="eastAsia"/>
                <w:color w:val="auto"/>
                <w:sz w:val="21"/>
                <w:szCs w:val="21"/>
              </w:rPr>
              <w:t>TYPE A 插座 X3</w:t>
            </w:r>
          </w:p>
        </w:tc>
      </w:tr>
    </w:tbl>
    <w:p w14:paraId="5F5D3E9A">
      <w:pPr>
        <w:spacing w:before="120"/>
        <w:ind w:firstLine="422" w:firstLineChars="200"/>
        <w:rPr>
          <w:b/>
          <w:bCs/>
          <w:color w:val="auto"/>
          <w:sz w:val="21"/>
          <w:szCs w:val="21"/>
        </w:rPr>
      </w:pPr>
      <w:r>
        <w:rPr>
          <w:rFonts w:hint="eastAsia"/>
          <w:b/>
          <w:bCs/>
          <w:color w:val="auto"/>
          <w:sz w:val="21"/>
          <w:szCs w:val="21"/>
        </w:rPr>
        <w:t>6.2</w:t>
      </w:r>
      <w:r>
        <w:rPr>
          <w:b/>
          <w:bCs/>
          <w:color w:val="auto"/>
          <w:sz w:val="21"/>
          <w:szCs w:val="21"/>
        </w:rPr>
        <w:t xml:space="preserve">.7  </w:t>
      </w:r>
      <w:r>
        <w:rPr>
          <w:rFonts w:hint="eastAsia"/>
          <w:b/>
          <w:bCs/>
          <w:color w:val="auto"/>
          <w:sz w:val="21"/>
          <w:szCs w:val="21"/>
        </w:rPr>
        <w:t>机车台</w:t>
      </w:r>
    </w:p>
    <w:p w14:paraId="17377FC7">
      <w:pPr>
        <w:ind w:firstLine="420" w:firstLineChars="200"/>
        <w:rPr>
          <w:color w:val="auto"/>
          <w:sz w:val="21"/>
          <w:szCs w:val="21"/>
        </w:rPr>
      </w:pPr>
      <w:r>
        <w:rPr>
          <w:rFonts w:hint="eastAsia"/>
          <w:color w:val="auto"/>
          <w:sz w:val="21"/>
          <w:szCs w:val="21"/>
        </w:rPr>
        <w:t>机车设备主要由机车台主机、控制盒、</w:t>
      </w:r>
      <w:r>
        <w:rPr>
          <w:color w:val="auto"/>
          <w:sz w:val="21"/>
          <w:szCs w:val="21"/>
        </w:rPr>
        <w:t>400M</w:t>
      </w:r>
      <w:r>
        <w:rPr>
          <w:rFonts w:hint="eastAsia"/>
          <w:color w:val="auto"/>
          <w:sz w:val="21"/>
          <w:szCs w:val="21"/>
        </w:rPr>
        <w:t>天线、</w:t>
      </w:r>
      <w:r>
        <w:rPr>
          <w:color w:val="auto"/>
          <w:sz w:val="21"/>
          <w:szCs w:val="21"/>
        </w:rPr>
        <w:t>GPS/</w:t>
      </w:r>
      <w:r>
        <w:rPr>
          <w:rFonts w:hint="eastAsia"/>
          <w:color w:val="auto"/>
          <w:sz w:val="21"/>
          <w:szCs w:val="21"/>
        </w:rPr>
        <w:t>北斗天线、射频馈线和手咪等组成。主机则主要由</w:t>
      </w:r>
      <w:r>
        <w:rPr>
          <w:color w:val="auto"/>
          <w:sz w:val="21"/>
          <w:szCs w:val="21"/>
        </w:rPr>
        <w:t>UHF1</w:t>
      </w:r>
      <w:r>
        <w:rPr>
          <w:rFonts w:hint="eastAsia"/>
          <w:color w:val="auto"/>
          <w:sz w:val="21"/>
          <w:szCs w:val="21"/>
        </w:rPr>
        <w:t>段车载台、控制单元、电源转换模块、机箱结构等组成。控制盒主要由</w:t>
      </w:r>
      <w:r>
        <w:rPr>
          <w:color w:val="auto"/>
          <w:sz w:val="21"/>
          <w:szCs w:val="21"/>
        </w:rPr>
        <w:t>PTT</w:t>
      </w:r>
      <w:r>
        <w:rPr>
          <w:rFonts w:hint="eastAsia"/>
          <w:color w:val="auto"/>
          <w:sz w:val="21"/>
          <w:szCs w:val="21"/>
        </w:rPr>
        <w:t>、扬声器、按键、显示屏、控制和音频处理电路等组成。</w:t>
      </w:r>
    </w:p>
    <w:p w14:paraId="472DA300">
      <w:pPr>
        <w:ind w:firstLine="420" w:firstLineChars="200"/>
        <w:rPr>
          <w:color w:val="auto"/>
          <w:sz w:val="21"/>
          <w:szCs w:val="21"/>
        </w:rPr>
      </w:pPr>
      <w:r>
        <w:rPr>
          <w:rFonts w:hint="eastAsia"/>
          <w:color w:val="auto"/>
          <w:sz w:val="21"/>
          <w:szCs w:val="21"/>
        </w:rPr>
        <w:t>机车台注册进入</w:t>
      </w:r>
      <w:r>
        <w:rPr>
          <w:color w:val="auto"/>
          <w:sz w:val="21"/>
          <w:szCs w:val="21"/>
        </w:rPr>
        <w:t>DMR</w:t>
      </w:r>
      <w:r>
        <w:rPr>
          <w:rFonts w:hint="eastAsia"/>
          <w:color w:val="auto"/>
          <w:sz w:val="21"/>
          <w:szCs w:val="21"/>
        </w:rPr>
        <w:t>数字综合无线通信系统，与无线行车信道机、无线行车通信系统服务器、手持台等配合实现大小三角通信。</w:t>
      </w:r>
    </w:p>
    <w:p w14:paraId="3CD30932">
      <w:pPr>
        <w:ind w:firstLine="420" w:firstLineChars="200"/>
        <w:rPr>
          <w:color w:val="auto"/>
          <w:sz w:val="21"/>
          <w:szCs w:val="21"/>
        </w:rPr>
      </w:pPr>
      <w:r>
        <w:rPr>
          <w:rFonts w:hint="eastAsia"/>
          <w:color w:val="auto"/>
          <w:sz w:val="21"/>
          <w:szCs w:val="21"/>
        </w:rPr>
        <w:t>机车台功能要求：</w:t>
      </w:r>
    </w:p>
    <w:p w14:paraId="0714A6F9">
      <w:pPr>
        <w:ind w:firstLine="420" w:firstLineChars="200"/>
        <w:rPr>
          <w:color w:val="auto"/>
          <w:sz w:val="21"/>
          <w:szCs w:val="21"/>
        </w:rPr>
      </w:pPr>
      <w:r>
        <w:rPr>
          <w:rFonts w:hint="eastAsia"/>
          <w:color w:val="auto"/>
          <w:sz w:val="21"/>
          <w:szCs w:val="21"/>
        </w:rPr>
        <w:t>（</w:t>
      </w:r>
      <w:r>
        <w:rPr>
          <w:color w:val="auto"/>
          <w:sz w:val="21"/>
          <w:szCs w:val="21"/>
        </w:rPr>
        <w:t>1</w:t>
      </w:r>
      <w:r>
        <w:rPr>
          <w:rFonts w:hint="eastAsia"/>
          <w:color w:val="auto"/>
          <w:sz w:val="21"/>
          <w:szCs w:val="21"/>
        </w:rPr>
        <w:t>）机车台主机负责电源处理，防断电保护，电压转换；</w:t>
      </w:r>
    </w:p>
    <w:p w14:paraId="3E564FD6">
      <w:pPr>
        <w:ind w:firstLine="420" w:firstLineChars="200"/>
        <w:rPr>
          <w:color w:val="auto"/>
          <w:sz w:val="21"/>
          <w:szCs w:val="21"/>
        </w:rPr>
      </w:pPr>
      <w:r>
        <w:rPr>
          <w:rFonts w:hint="eastAsia"/>
          <w:color w:val="auto"/>
          <w:sz w:val="21"/>
          <w:szCs w:val="21"/>
        </w:rPr>
        <w:t>（</w:t>
      </w:r>
      <w:r>
        <w:rPr>
          <w:color w:val="auto"/>
          <w:sz w:val="21"/>
          <w:szCs w:val="21"/>
        </w:rPr>
        <w:t>2</w:t>
      </w:r>
      <w:r>
        <w:rPr>
          <w:rFonts w:hint="eastAsia"/>
          <w:color w:val="auto"/>
          <w:sz w:val="21"/>
          <w:szCs w:val="21"/>
        </w:rPr>
        <w:t>）机车台主机负责执行</w:t>
      </w:r>
      <w:r>
        <w:rPr>
          <w:color w:val="auto"/>
          <w:sz w:val="21"/>
          <w:szCs w:val="21"/>
        </w:rPr>
        <w:t>400M</w:t>
      </w:r>
      <w:r>
        <w:rPr>
          <w:rFonts w:hint="eastAsia"/>
          <w:color w:val="auto"/>
          <w:sz w:val="21"/>
          <w:szCs w:val="21"/>
        </w:rPr>
        <w:t>频段语音通讯功能，包含模拟</w:t>
      </w:r>
      <w:r>
        <w:rPr>
          <w:color w:val="auto"/>
          <w:sz w:val="21"/>
          <w:szCs w:val="21"/>
        </w:rPr>
        <w:t>FM</w:t>
      </w:r>
      <w:r>
        <w:rPr>
          <w:rFonts w:hint="eastAsia"/>
          <w:color w:val="auto"/>
          <w:sz w:val="21"/>
          <w:szCs w:val="21"/>
        </w:rPr>
        <w:t>模式和数字</w:t>
      </w:r>
      <w:r>
        <w:rPr>
          <w:color w:val="auto"/>
          <w:sz w:val="21"/>
          <w:szCs w:val="21"/>
        </w:rPr>
        <w:t>DMR</w:t>
      </w:r>
      <w:r>
        <w:rPr>
          <w:rFonts w:hint="eastAsia"/>
          <w:color w:val="auto"/>
          <w:sz w:val="21"/>
          <w:szCs w:val="21"/>
        </w:rPr>
        <w:t>模式，以及数字模式下的数据短信收发功能以及协议信令传输解析；</w:t>
      </w:r>
    </w:p>
    <w:p w14:paraId="1041931F">
      <w:pPr>
        <w:ind w:firstLine="420" w:firstLineChars="200"/>
        <w:rPr>
          <w:color w:val="auto"/>
          <w:sz w:val="21"/>
          <w:szCs w:val="21"/>
        </w:rPr>
      </w:pPr>
      <w:r>
        <w:rPr>
          <w:rFonts w:hint="eastAsia"/>
          <w:color w:val="auto"/>
          <w:sz w:val="21"/>
          <w:szCs w:val="21"/>
        </w:rPr>
        <w:t>（</w:t>
      </w:r>
      <w:r>
        <w:rPr>
          <w:color w:val="auto"/>
          <w:sz w:val="21"/>
          <w:szCs w:val="21"/>
        </w:rPr>
        <w:t>3</w:t>
      </w:r>
      <w:r>
        <w:rPr>
          <w:rFonts w:hint="eastAsia"/>
          <w:color w:val="auto"/>
          <w:sz w:val="21"/>
          <w:szCs w:val="21"/>
        </w:rPr>
        <w:t>）机车台主机负责语音存储功能，存储语音可以通过机车台的配置接口进行语音导出；</w:t>
      </w:r>
    </w:p>
    <w:p w14:paraId="3EB5BF97">
      <w:pPr>
        <w:ind w:firstLine="420" w:firstLineChars="200"/>
        <w:rPr>
          <w:color w:val="auto"/>
          <w:sz w:val="21"/>
          <w:szCs w:val="21"/>
        </w:rPr>
      </w:pPr>
      <w:r>
        <w:rPr>
          <w:rFonts w:hint="eastAsia"/>
          <w:color w:val="auto"/>
          <w:sz w:val="21"/>
          <w:szCs w:val="21"/>
        </w:rPr>
        <w:t>（</w:t>
      </w:r>
      <w:r>
        <w:rPr>
          <w:color w:val="auto"/>
          <w:sz w:val="21"/>
          <w:szCs w:val="21"/>
        </w:rPr>
        <w:t>4</w:t>
      </w:r>
      <w:r>
        <w:rPr>
          <w:rFonts w:hint="eastAsia"/>
          <w:color w:val="auto"/>
          <w:sz w:val="21"/>
          <w:szCs w:val="21"/>
        </w:rPr>
        <w:t>）机车台主机负责将机车实时</w:t>
      </w:r>
      <w:r>
        <w:rPr>
          <w:color w:val="auto"/>
          <w:sz w:val="21"/>
          <w:szCs w:val="21"/>
        </w:rPr>
        <w:t>GPS/</w:t>
      </w:r>
      <w:r>
        <w:rPr>
          <w:rFonts w:hint="eastAsia"/>
          <w:color w:val="auto"/>
          <w:sz w:val="21"/>
          <w:szCs w:val="21"/>
        </w:rPr>
        <w:t>北斗数据收集与上传给系统；</w:t>
      </w:r>
    </w:p>
    <w:p w14:paraId="5D83C797">
      <w:pPr>
        <w:ind w:firstLine="420" w:firstLineChars="200"/>
        <w:rPr>
          <w:color w:val="auto"/>
          <w:sz w:val="21"/>
          <w:szCs w:val="21"/>
        </w:rPr>
      </w:pPr>
      <w:r>
        <w:rPr>
          <w:rFonts w:hint="eastAsia"/>
          <w:color w:val="auto"/>
          <w:sz w:val="21"/>
          <w:szCs w:val="21"/>
        </w:rPr>
        <w:t>（</w:t>
      </w:r>
      <w:r>
        <w:rPr>
          <w:color w:val="auto"/>
          <w:sz w:val="21"/>
          <w:szCs w:val="21"/>
        </w:rPr>
        <w:t>5</w:t>
      </w:r>
      <w:r>
        <w:rPr>
          <w:rFonts w:hint="eastAsia"/>
          <w:color w:val="auto"/>
          <w:sz w:val="21"/>
          <w:szCs w:val="21"/>
        </w:rPr>
        <w:t>）机车台主机负责与之相连的两个控制盒中的一个进行通讯，并传输语音；</w:t>
      </w:r>
    </w:p>
    <w:p w14:paraId="238CCD7D">
      <w:pPr>
        <w:ind w:firstLine="420" w:firstLineChars="200"/>
        <w:rPr>
          <w:color w:val="auto"/>
          <w:sz w:val="21"/>
          <w:szCs w:val="21"/>
        </w:rPr>
      </w:pPr>
      <w:r>
        <w:rPr>
          <w:rFonts w:hint="eastAsia"/>
          <w:color w:val="auto"/>
          <w:sz w:val="21"/>
          <w:szCs w:val="21"/>
        </w:rPr>
        <w:t>（</w:t>
      </w:r>
      <w:r>
        <w:rPr>
          <w:color w:val="auto"/>
          <w:sz w:val="21"/>
          <w:szCs w:val="21"/>
        </w:rPr>
        <w:t>6</w:t>
      </w:r>
      <w:r>
        <w:rPr>
          <w:rFonts w:hint="eastAsia"/>
          <w:color w:val="auto"/>
          <w:sz w:val="21"/>
          <w:szCs w:val="21"/>
        </w:rPr>
        <w:t>）机车台具备本机录音功能；连续录音时长</w:t>
      </w:r>
      <w:r>
        <w:rPr>
          <w:rFonts w:hint="eastAsia" w:ascii="宋体" w:hAnsi="宋体"/>
          <w:color w:val="auto"/>
          <w:sz w:val="21"/>
          <w:szCs w:val="21"/>
        </w:rPr>
        <w:t>≥</w:t>
      </w:r>
      <w:r>
        <w:rPr>
          <w:color w:val="auto"/>
          <w:sz w:val="21"/>
          <w:szCs w:val="21"/>
        </w:rPr>
        <w:t>100</w:t>
      </w:r>
      <w:r>
        <w:rPr>
          <w:rFonts w:hint="eastAsia"/>
          <w:color w:val="auto"/>
          <w:sz w:val="21"/>
          <w:szCs w:val="21"/>
        </w:rPr>
        <w:t>小时；</w:t>
      </w:r>
    </w:p>
    <w:p w14:paraId="6BB401E2">
      <w:pPr>
        <w:ind w:firstLine="420" w:firstLineChars="200"/>
        <w:rPr>
          <w:color w:val="auto"/>
          <w:sz w:val="21"/>
          <w:szCs w:val="21"/>
        </w:rPr>
      </w:pPr>
      <w:r>
        <w:rPr>
          <w:rFonts w:hint="eastAsia"/>
          <w:color w:val="auto"/>
          <w:sz w:val="21"/>
          <w:szCs w:val="21"/>
        </w:rPr>
        <w:t>（</w:t>
      </w:r>
      <w:r>
        <w:rPr>
          <w:color w:val="auto"/>
          <w:sz w:val="21"/>
          <w:szCs w:val="21"/>
        </w:rPr>
        <w:t>7</w:t>
      </w:r>
      <w:r>
        <w:rPr>
          <w:rFonts w:hint="eastAsia"/>
          <w:color w:val="auto"/>
          <w:sz w:val="21"/>
          <w:szCs w:val="21"/>
        </w:rPr>
        <w:t>）控制盒负责显示调单，查看以往调单，签收调单；</w:t>
      </w:r>
    </w:p>
    <w:p w14:paraId="73B93442">
      <w:pPr>
        <w:ind w:firstLine="420" w:firstLineChars="200"/>
        <w:rPr>
          <w:color w:val="auto"/>
          <w:sz w:val="21"/>
          <w:szCs w:val="21"/>
        </w:rPr>
      </w:pPr>
      <w:r>
        <w:rPr>
          <w:rFonts w:hint="eastAsia"/>
          <w:color w:val="auto"/>
          <w:sz w:val="21"/>
          <w:szCs w:val="21"/>
        </w:rPr>
        <w:t>（</w:t>
      </w:r>
      <w:r>
        <w:rPr>
          <w:color w:val="auto"/>
          <w:sz w:val="21"/>
          <w:szCs w:val="21"/>
        </w:rPr>
        <w:t>8</w:t>
      </w:r>
      <w:r>
        <w:rPr>
          <w:rFonts w:hint="eastAsia"/>
          <w:color w:val="auto"/>
          <w:sz w:val="21"/>
          <w:szCs w:val="21"/>
        </w:rPr>
        <w:t>）控制盒负责车次号输入，并显示；</w:t>
      </w:r>
    </w:p>
    <w:p w14:paraId="2316BD3E">
      <w:pPr>
        <w:ind w:firstLine="420" w:firstLineChars="200"/>
        <w:rPr>
          <w:color w:val="auto"/>
          <w:sz w:val="21"/>
          <w:szCs w:val="21"/>
        </w:rPr>
      </w:pPr>
      <w:r>
        <w:rPr>
          <w:rFonts w:hint="eastAsia"/>
          <w:color w:val="auto"/>
          <w:sz w:val="21"/>
          <w:szCs w:val="21"/>
        </w:rPr>
        <w:t>（</w:t>
      </w:r>
      <w:r>
        <w:rPr>
          <w:color w:val="auto"/>
          <w:sz w:val="21"/>
          <w:szCs w:val="21"/>
        </w:rPr>
        <w:t>9</w:t>
      </w:r>
      <w:r>
        <w:rPr>
          <w:rFonts w:hint="eastAsia"/>
          <w:color w:val="auto"/>
          <w:sz w:val="21"/>
          <w:szCs w:val="21"/>
        </w:rPr>
        <w:t>）控制盒负责快捷呼叫预处理，包含调度，车站、道口，司机不同的呼叫类型和对象预处理发给主机；</w:t>
      </w:r>
    </w:p>
    <w:p w14:paraId="3A66B157">
      <w:pPr>
        <w:ind w:firstLine="420" w:firstLineChars="200"/>
        <w:rPr>
          <w:color w:val="auto"/>
          <w:sz w:val="21"/>
          <w:szCs w:val="21"/>
        </w:rPr>
      </w:pPr>
      <w:r>
        <w:rPr>
          <w:rFonts w:hint="eastAsia"/>
          <w:color w:val="auto"/>
          <w:sz w:val="21"/>
          <w:szCs w:val="21"/>
        </w:rPr>
        <w:t>（</w:t>
      </w:r>
      <w:r>
        <w:rPr>
          <w:color w:val="auto"/>
          <w:sz w:val="21"/>
          <w:szCs w:val="21"/>
        </w:rPr>
        <w:t>10</w:t>
      </w:r>
      <w:r>
        <w:rPr>
          <w:rFonts w:hint="eastAsia"/>
          <w:color w:val="auto"/>
          <w:sz w:val="21"/>
          <w:szCs w:val="21"/>
        </w:rPr>
        <w:t>）控制盒负责在呼入和呼出时显示相关的呼叫信息和呼叫状态；</w:t>
      </w:r>
    </w:p>
    <w:p w14:paraId="10AE2AD4">
      <w:pPr>
        <w:ind w:firstLine="420" w:firstLineChars="200"/>
        <w:rPr>
          <w:color w:val="auto"/>
          <w:sz w:val="21"/>
          <w:szCs w:val="21"/>
        </w:rPr>
      </w:pPr>
      <w:r>
        <w:rPr>
          <w:rFonts w:hint="eastAsia"/>
          <w:color w:val="auto"/>
          <w:sz w:val="21"/>
          <w:szCs w:val="21"/>
        </w:rPr>
        <w:t>（</w:t>
      </w:r>
      <w:r>
        <w:rPr>
          <w:color w:val="auto"/>
          <w:sz w:val="21"/>
          <w:szCs w:val="21"/>
        </w:rPr>
        <w:t>11</w:t>
      </w:r>
      <w:r>
        <w:rPr>
          <w:rFonts w:hint="eastAsia"/>
          <w:color w:val="auto"/>
          <w:sz w:val="21"/>
          <w:szCs w:val="21"/>
        </w:rPr>
        <w:t>）控制盒负责执行扬声器的音量调节；</w:t>
      </w:r>
    </w:p>
    <w:p w14:paraId="04ADC0CA">
      <w:pPr>
        <w:ind w:firstLine="420" w:firstLineChars="200"/>
        <w:rPr>
          <w:color w:val="auto"/>
          <w:sz w:val="21"/>
          <w:szCs w:val="21"/>
        </w:rPr>
      </w:pPr>
      <w:r>
        <w:rPr>
          <w:rFonts w:hint="eastAsia"/>
          <w:color w:val="auto"/>
          <w:sz w:val="21"/>
          <w:szCs w:val="21"/>
        </w:rPr>
        <w:t>（</w:t>
      </w:r>
      <w:r>
        <w:rPr>
          <w:color w:val="auto"/>
          <w:sz w:val="21"/>
          <w:szCs w:val="21"/>
        </w:rPr>
        <w:t>12</w:t>
      </w:r>
      <w:r>
        <w:rPr>
          <w:rFonts w:hint="eastAsia"/>
          <w:color w:val="auto"/>
          <w:sz w:val="21"/>
          <w:szCs w:val="21"/>
        </w:rPr>
        <w:t>）控制盒负责放大语音并连接喇叭输出；</w:t>
      </w:r>
    </w:p>
    <w:p w14:paraId="18C9BA96">
      <w:pPr>
        <w:ind w:firstLine="420" w:firstLineChars="200"/>
        <w:rPr>
          <w:color w:val="auto"/>
          <w:sz w:val="21"/>
          <w:szCs w:val="21"/>
        </w:rPr>
      </w:pPr>
      <w:r>
        <w:rPr>
          <w:rFonts w:hint="eastAsia"/>
          <w:color w:val="auto"/>
          <w:sz w:val="21"/>
          <w:szCs w:val="21"/>
        </w:rPr>
        <w:t>（</w:t>
      </w:r>
      <w:r>
        <w:rPr>
          <w:color w:val="auto"/>
          <w:sz w:val="21"/>
          <w:szCs w:val="21"/>
        </w:rPr>
        <w:t>13</w:t>
      </w:r>
      <w:r>
        <w:rPr>
          <w:rFonts w:hint="eastAsia"/>
          <w:color w:val="auto"/>
          <w:sz w:val="21"/>
          <w:szCs w:val="21"/>
        </w:rPr>
        <w:t>）控制盒负责连接手咪，实现语音输入和</w:t>
      </w:r>
      <w:r>
        <w:rPr>
          <w:color w:val="auto"/>
          <w:sz w:val="21"/>
          <w:szCs w:val="21"/>
        </w:rPr>
        <w:t>PTT</w:t>
      </w:r>
      <w:r>
        <w:rPr>
          <w:rFonts w:hint="eastAsia"/>
          <w:color w:val="auto"/>
          <w:sz w:val="21"/>
          <w:szCs w:val="21"/>
        </w:rPr>
        <w:t>呼叫功能。</w:t>
      </w:r>
    </w:p>
    <w:p w14:paraId="0E07BE9F">
      <w:pPr>
        <w:ind w:firstLine="420" w:firstLineChars="200"/>
        <w:rPr>
          <w:color w:val="auto"/>
          <w:sz w:val="21"/>
          <w:szCs w:val="21"/>
        </w:rPr>
      </w:pPr>
      <w:r>
        <w:rPr>
          <w:rFonts w:hint="eastAsia"/>
          <w:color w:val="auto"/>
          <w:sz w:val="21"/>
          <w:szCs w:val="21"/>
        </w:rPr>
        <w:t>机车台技术指标不低于下表的要求：</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335"/>
        <w:gridCol w:w="5991"/>
      </w:tblGrid>
      <w:tr w14:paraId="485817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1402" w:type="pct"/>
            <w:tcMar>
              <w:top w:w="0" w:type="dxa"/>
              <w:left w:w="0" w:type="dxa"/>
              <w:right w:w="0" w:type="dxa"/>
            </w:tcMar>
            <w:vAlign w:val="center"/>
          </w:tcPr>
          <w:p w14:paraId="5A28A118">
            <w:pPr>
              <w:snapToGrid w:val="0"/>
              <w:jc w:val="center"/>
              <w:rPr>
                <w:color w:val="auto"/>
                <w:sz w:val="21"/>
                <w:szCs w:val="21"/>
              </w:rPr>
            </w:pPr>
            <w:r>
              <w:rPr>
                <w:rFonts w:hint="eastAsia"/>
                <w:color w:val="auto"/>
                <w:sz w:val="21"/>
                <w:szCs w:val="21"/>
              </w:rPr>
              <w:t>规格名称</w:t>
            </w:r>
          </w:p>
        </w:tc>
        <w:tc>
          <w:tcPr>
            <w:tcW w:w="3598" w:type="pct"/>
            <w:tcMar>
              <w:top w:w="0" w:type="dxa"/>
              <w:left w:w="0" w:type="dxa"/>
              <w:right w:w="0" w:type="dxa"/>
            </w:tcMar>
            <w:vAlign w:val="center"/>
          </w:tcPr>
          <w:p w14:paraId="63B8EC8F">
            <w:pPr>
              <w:snapToGrid w:val="0"/>
              <w:jc w:val="center"/>
              <w:rPr>
                <w:color w:val="auto"/>
                <w:sz w:val="21"/>
                <w:szCs w:val="21"/>
              </w:rPr>
            </w:pPr>
            <w:r>
              <w:rPr>
                <w:rFonts w:hint="eastAsia"/>
                <w:color w:val="auto"/>
                <w:sz w:val="21"/>
                <w:szCs w:val="21"/>
              </w:rPr>
              <w:t>规  格</w:t>
            </w:r>
          </w:p>
        </w:tc>
      </w:tr>
      <w:tr w14:paraId="66E21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00" w:type="pct"/>
            <w:gridSpan w:val="2"/>
            <w:tcMar>
              <w:top w:w="0" w:type="dxa"/>
              <w:left w:w="0" w:type="dxa"/>
              <w:right w:w="0" w:type="dxa"/>
            </w:tcMar>
            <w:vAlign w:val="center"/>
          </w:tcPr>
          <w:p w14:paraId="7695AB86">
            <w:pPr>
              <w:snapToGrid w:val="0"/>
              <w:jc w:val="center"/>
              <w:rPr>
                <w:rFonts w:hint="eastAsia" w:hAnsi="宋体"/>
                <w:color w:val="auto"/>
                <w:sz w:val="21"/>
                <w:szCs w:val="21"/>
              </w:rPr>
            </w:pPr>
            <w:r>
              <w:rPr>
                <w:rFonts w:hint="eastAsia" w:hAnsi="宋体"/>
                <w:color w:val="auto"/>
                <w:sz w:val="21"/>
                <w:szCs w:val="21"/>
              </w:rPr>
              <w:t>电气规格</w:t>
            </w:r>
          </w:p>
        </w:tc>
      </w:tr>
      <w:tr w14:paraId="599397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0AF0C4B0">
            <w:pPr>
              <w:snapToGrid w:val="0"/>
              <w:jc w:val="center"/>
              <w:rPr>
                <w:rFonts w:hint="eastAsia" w:hAnsi="宋体"/>
                <w:color w:val="auto"/>
                <w:sz w:val="21"/>
                <w:szCs w:val="21"/>
              </w:rPr>
            </w:pPr>
            <w:r>
              <w:rPr>
                <w:rFonts w:hint="eastAsia" w:hAnsi="宋体"/>
                <w:color w:val="auto"/>
                <w:sz w:val="21"/>
                <w:szCs w:val="21"/>
              </w:rPr>
              <w:t>信道容量</w:t>
            </w:r>
          </w:p>
        </w:tc>
        <w:tc>
          <w:tcPr>
            <w:tcW w:w="3598" w:type="pct"/>
            <w:tcMar>
              <w:top w:w="0" w:type="dxa"/>
              <w:left w:w="0" w:type="dxa"/>
              <w:right w:w="0" w:type="dxa"/>
            </w:tcMar>
            <w:vAlign w:val="center"/>
          </w:tcPr>
          <w:p w14:paraId="51B64C22">
            <w:pPr>
              <w:snapToGrid w:val="0"/>
              <w:ind w:left="56" w:leftChars="20" w:right="56" w:rightChars="20"/>
              <w:jc w:val="left"/>
              <w:rPr>
                <w:rFonts w:hint="eastAsia" w:hAnsi="宋体"/>
                <w:color w:val="auto"/>
                <w:sz w:val="21"/>
                <w:szCs w:val="21"/>
              </w:rPr>
            </w:pPr>
            <w:r>
              <w:rPr>
                <w:rFonts w:hint="eastAsia" w:hAnsi="宋体"/>
                <w:color w:val="auto"/>
                <w:sz w:val="21"/>
                <w:szCs w:val="21"/>
              </w:rPr>
              <w:t>256</w:t>
            </w:r>
          </w:p>
        </w:tc>
      </w:tr>
      <w:tr w14:paraId="60B542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0E15F037">
            <w:pPr>
              <w:snapToGrid w:val="0"/>
              <w:jc w:val="center"/>
              <w:rPr>
                <w:rFonts w:hint="eastAsia" w:hAnsi="宋体"/>
                <w:color w:val="auto"/>
                <w:sz w:val="21"/>
                <w:szCs w:val="21"/>
              </w:rPr>
            </w:pPr>
            <w:r>
              <w:rPr>
                <w:rFonts w:hint="eastAsia" w:hAnsi="宋体"/>
                <w:color w:val="auto"/>
                <w:sz w:val="21"/>
                <w:szCs w:val="21"/>
              </w:rPr>
              <w:t>工作频率</w:t>
            </w:r>
          </w:p>
        </w:tc>
        <w:tc>
          <w:tcPr>
            <w:tcW w:w="3598" w:type="pct"/>
            <w:tcMar>
              <w:top w:w="0" w:type="dxa"/>
              <w:left w:w="0" w:type="dxa"/>
              <w:right w:w="0" w:type="dxa"/>
            </w:tcMar>
            <w:vAlign w:val="center"/>
          </w:tcPr>
          <w:p w14:paraId="7AAD2D71">
            <w:pPr>
              <w:snapToGrid w:val="0"/>
              <w:ind w:left="56" w:leftChars="20" w:right="56" w:rightChars="20"/>
              <w:jc w:val="left"/>
              <w:rPr>
                <w:rFonts w:hint="eastAsia" w:hAnsi="宋体"/>
                <w:color w:val="auto"/>
                <w:sz w:val="21"/>
                <w:szCs w:val="21"/>
              </w:rPr>
            </w:pPr>
            <w:r>
              <w:rPr>
                <w:rFonts w:hint="eastAsia" w:hAnsi="宋体"/>
                <w:color w:val="auto"/>
                <w:sz w:val="21"/>
                <w:szCs w:val="21"/>
              </w:rPr>
              <w:t>403</w:t>
            </w:r>
            <w:r>
              <w:rPr>
                <w:rFonts w:hint="eastAsia" w:ascii="宋体" w:hAnsi="宋体"/>
                <w:color w:val="auto"/>
                <w:sz w:val="21"/>
                <w:szCs w:val="21"/>
              </w:rPr>
              <w:t>～</w:t>
            </w:r>
            <w:r>
              <w:rPr>
                <w:rFonts w:hint="eastAsia" w:hAnsi="宋体"/>
                <w:color w:val="auto"/>
                <w:sz w:val="21"/>
                <w:szCs w:val="21"/>
              </w:rPr>
              <w:t>470MHz</w:t>
            </w:r>
          </w:p>
        </w:tc>
      </w:tr>
      <w:tr w14:paraId="525621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24C46165">
            <w:pPr>
              <w:snapToGrid w:val="0"/>
              <w:jc w:val="center"/>
              <w:rPr>
                <w:rFonts w:hint="eastAsia" w:hAnsi="宋体"/>
                <w:color w:val="auto"/>
                <w:sz w:val="21"/>
                <w:szCs w:val="21"/>
              </w:rPr>
            </w:pPr>
            <w:r>
              <w:rPr>
                <w:rFonts w:hint="eastAsia" w:hAnsi="宋体"/>
                <w:color w:val="auto"/>
                <w:sz w:val="21"/>
                <w:szCs w:val="21"/>
              </w:rPr>
              <w:t>信道间隔</w:t>
            </w:r>
          </w:p>
        </w:tc>
        <w:tc>
          <w:tcPr>
            <w:tcW w:w="3598" w:type="pct"/>
            <w:tcMar>
              <w:top w:w="0" w:type="dxa"/>
              <w:left w:w="0" w:type="dxa"/>
              <w:right w:w="0" w:type="dxa"/>
            </w:tcMar>
            <w:vAlign w:val="center"/>
          </w:tcPr>
          <w:p w14:paraId="1CD92B12">
            <w:pPr>
              <w:snapToGrid w:val="0"/>
              <w:ind w:left="56" w:leftChars="20" w:right="56" w:rightChars="20"/>
              <w:jc w:val="left"/>
              <w:rPr>
                <w:rFonts w:hint="eastAsia" w:hAnsi="宋体"/>
                <w:color w:val="auto"/>
                <w:sz w:val="21"/>
                <w:szCs w:val="21"/>
              </w:rPr>
            </w:pPr>
            <w:r>
              <w:rPr>
                <w:rFonts w:hint="eastAsia" w:hAnsi="宋体"/>
                <w:color w:val="auto"/>
                <w:sz w:val="21"/>
                <w:szCs w:val="21"/>
              </w:rPr>
              <w:t>12.5KHz数字/25KHz 模拟</w:t>
            </w:r>
          </w:p>
        </w:tc>
      </w:tr>
      <w:tr w14:paraId="498FA0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4D3E4BC2">
            <w:pPr>
              <w:snapToGrid w:val="0"/>
              <w:jc w:val="center"/>
              <w:rPr>
                <w:rFonts w:hint="eastAsia" w:hAnsi="宋体"/>
                <w:color w:val="auto"/>
                <w:sz w:val="21"/>
                <w:szCs w:val="21"/>
              </w:rPr>
            </w:pPr>
            <w:r>
              <w:rPr>
                <w:rFonts w:hint="eastAsia" w:hAnsi="宋体"/>
                <w:color w:val="auto"/>
                <w:sz w:val="21"/>
                <w:szCs w:val="21"/>
              </w:rPr>
              <w:t>模拟调制</w:t>
            </w:r>
          </w:p>
        </w:tc>
        <w:tc>
          <w:tcPr>
            <w:tcW w:w="3598" w:type="pct"/>
            <w:tcMar>
              <w:top w:w="0" w:type="dxa"/>
              <w:left w:w="0" w:type="dxa"/>
              <w:right w:w="0" w:type="dxa"/>
            </w:tcMar>
            <w:vAlign w:val="center"/>
          </w:tcPr>
          <w:p w14:paraId="69ED241F">
            <w:pPr>
              <w:snapToGrid w:val="0"/>
              <w:ind w:left="56" w:leftChars="20" w:right="56" w:rightChars="20"/>
              <w:jc w:val="left"/>
              <w:rPr>
                <w:rFonts w:hint="eastAsia" w:hAnsi="宋体"/>
                <w:color w:val="auto"/>
                <w:sz w:val="21"/>
                <w:szCs w:val="21"/>
              </w:rPr>
            </w:pPr>
            <w:r>
              <w:rPr>
                <w:rFonts w:hint="eastAsia" w:hAnsi="宋体"/>
                <w:color w:val="auto"/>
                <w:sz w:val="21"/>
                <w:szCs w:val="21"/>
              </w:rPr>
              <w:t>FM</w:t>
            </w:r>
          </w:p>
        </w:tc>
      </w:tr>
      <w:tr w14:paraId="35B17F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260DA6F8">
            <w:pPr>
              <w:snapToGrid w:val="0"/>
              <w:jc w:val="center"/>
              <w:rPr>
                <w:rFonts w:hint="eastAsia" w:hAnsi="宋体"/>
                <w:color w:val="auto"/>
                <w:sz w:val="21"/>
                <w:szCs w:val="21"/>
              </w:rPr>
            </w:pPr>
            <w:r>
              <w:rPr>
                <w:rFonts w:hint="eastAsia" w:hAnsi="宋体"/>
                <w:color w:val="auto"/>
                <w:sz w:val="21"/>
                <w:szCs w:val="21"/>
              </w:rPr>
              <w:t>数字调制</w:t>
            </w:r>
          </w:p>
        </w:tc>
        <w:tc>
          <w:tcPr>
            <w:tcW w:w="3598" w:type="pct"/>
            <w:tcMar>
              <w:top w:w="0" w:type="dxa"/>
              <w:left w:w="0" w:type="dxa"/>
              <w:right w:w="0" w:type="dxa"/>
            </w:tcMar>
            <w:vAlign w:val="center"/>
          </w:tcPr>
          <w:p w14:paraId="74CB48B7">
            <w:pPr>
              <w:snapToGrid w:val="0"/>
              <w:ind w:left="56" w:leftChars="20" w:right="56" w:rightChars="20"/>
              <w:jc w:val="left"/>
              <w:rPr>
                <w:rFonts w:hint="eastAsia" w:hAnsi="宋体"/>
                <w:color w:val="auto"/>
                <w:sz w:val="21"/>
                <w:szCs w:val="21"/>
              </w:rPr>
            </w:pPr>
            <w:r>
              <w:rPr>
                <w:rFonts w:hint="eastAsia" w:hAnsi="宋体"/>
                <w:color w:val="auto"/>
                <w:sz w:val="21"/>
                <w:szCs w:val="21"/>
              </w:rPr>
              <w:t>DMR</w:t>
            </w:r>
          </w:p>
        </w:tc>
      </w:tr>
      <w:tr w14:paraId="24A84B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7571740C">
            <w:pPr>
              <w:snapToGrid w:val="0"/>
              <w:jc w:val="center"/>
              <w:rPr>
                <w:rFonts w:hint="eastAsia" w:hAnsi="宋体"/>
                <w:color w:val="auto"/>
                <w:sz w:val="21"/>
                <w:szCs w:val="21"/>
              </w:rPr>
            </w:pPr>
            <w:r>
              <w:rPr>
                <w:rFonts w:hint="eastAsia" w:hAnsi="宋体"/>
                <w:color w:val="auto"/>
                <w:sz w:val="21"/>
                <w:szCs w:val="21"/>
              </w:rPr>
              <w:t>接收灵敏度</w:t>
            </w:r>
          </w:p>
        </w:tc>
        <w:tc>
          <w:tcPr>
            <w:tcW w:w="3598" w:type="pct"/>
            <w:tcMar>
              <w:top w:w="0" w:type="dxa"/>
              <w:left w:w="0" w:type="dxa"/>
              <w:right w:w="0" w:type="dxa"/>
            </w:tcMar>
            <w:vAlign w:val="center"/>
          </w:tcPr>
          <w:p w14:paraId="1C7DE433">
            <w:pPr>
              <w:snapToGrid w:val="0"/>
              <w:ind w:left="56" w:leftChars="20" w:right="56" w:rightChars="20"/>
              <w:jc w:val="left"/>
              <w:rPr>
                <w:rFonts w:hint="eastAsia" w:hAnsi="宋体"/>
                <w:color w:val="auto"/>
                <w:sz w:val="21"/>
                <w:szCs w:val="21"/>
              </w:rPr>
            </w:pPr>
            <w:r>
              <w:rPr>
                <w:rFonts w:hint="eastAsia" w:hAnsi="宋体"/>
                <w:color w:val="auto"/>
                <w:sz w:val="21"/>
                <w:szCs w:val="21"/>
              </w:rPr>
              <w:t>-120dBm/-120dBm模拟和数字</w:t>
            </w:r>
          </w:p>
        </w:tc>
      </w:tr>
      <w:tr w14:paraId="29DD74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67643DB7">
            <w:pPr>
              <w:snapToGrid w:val="0"/>
              <w:jc w:val="center"/>
              <w:rPr>
                <w:rFonts w:hint="eastAsia" w:hAnsi="宋体"/>
                <w:color w:val="auto"/>
                <w:sz w:val="21"/>
                <w:szCs w:val="21"/>
              </w:rPr>
            </w:pPr>
            <w:r>
              <w:rPr>
                <w:rFonts w:hint="eastAsia" w:hAnsi="宋体"/>
                <w:color w:val="auto"/>
                <w:sz w:val="21"/>
                <w:szCs w:val="21"/>
              </w:rPr>
              <w:t>接收互调</w:t>
            </w:r>
          </w:p>
        </w:tc>
        <w:tc>
          <w:tcPr>
            <w:tcW w:w="3598" w:type="pct"/>
            <w:tcMar>
              <w:top w:w="0" w:type="dxa"/>
              <w:left w:w="0" w:type="dxa"/>
              <w:right w:w="0" w:type="dxa"/>
            </w:tcMar>
            <w:vAlign w:val="center"/>
          </w:tcPr>
          <w:p w14:paraId="0BA090BE">
            <w:pPr>
              <w:snapToGrid w:val="0"/>
              <w:ind w:left="56" w:leftChars="20" w:right="56" w:rightChars="20"/>
              <w:jc w:val="left"/>
              <w:rPr>
                <w:rFonts w:hint="eastAsia" w:hAnsi="宋体"/>
                <w:color w:val="auto"/>
                <w:sz w:val="21"/>
                <w:szCs w:val="21"/>
              </w:rPr>
            </w:pPr>
            <w:r>
              <w:rPr>
                <w:rFonts w:hint="eastAsia" w:hAnsi="宋体"/>
                <w:color w:val="auto"/>
                <w:sz w:val="21"/>
                <w:szCs w:val="21"/>
              </w:rPr>
              <w:t>70dB</w:t>
            </w:r>
          </w:p>
        </w:tc>
      </w:tr>
      <w:tr w14:paraId="7A9065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2FD5F97E">
            <w:pPr>
              <w:snapToGrid w:val="0"/>
              <w:jc w:val="center"/>
              <w:rPr>
                <w:rFonts w:hint="eastAsia" w:hAnsi="宋体"/>
                <w:color w:val="auto"/>
                <w:sz w:val="21"/>
                <w:szCs w:val="21"/>
              </w:rPr>
            </w:pPr>
            <w:r>
              <w:rPr>
                <w:rFonts w:hint="eastAsia" w:hAnsi="宋体"/>
                <w:color w:val="auto"/>
                <w:sz w:val="21"/>
                <w:szCs w:val="21"/>
              </w:rPr>
              <w:t>接收邻道选择性</w:t>
            </w:r>
          </w:p>
        </w:tc>
        <w:tc>
          <w:tcPr>
            <w:tcW w:w="3598" w:type="pct"/>
            <w:tcMar>
              <w:top w:w="0" w:type="dxa"/>
              <w:left w:w="0" w:type="dxa"/>
              <w:right w:w="0" w:type="dxa"/>
            </w:tcMar>
            <w:vAlign w:val="center"/>
          </w:tcPr>
          <w:p w14:paraId="3ED132A3">
            <w:pPr>
              <w:snapToGrid w:val="0"/>
              <w:ind w:left="56" w:leftChars="20" w:right="56" w:rightChars="20"/>
              <w:jc w:val="left"/>
              <w:rPr>
                <w:rFonts w:hint="eastAsia" w:hAnsi="宋体"/>
                <w:color w:val="auto"/>
                <w:sz w:val="21"/>
                <w:szCs w:val="21"/>
              </w:rPr>
            </w:pPr>
            <w:r>
              <w:rPr>
                <w:rFonts w:hint="eastAsia" w:hAnsi="宋体"/>
                <w:color w:val="auto"/>
                <w:sz w:val="21"/>
                <w:szCs w:val="21"/>
              </w:rPr>
              <w:t>50dB@12.5KHz/70dB@25KHz</w:t>
            </w:r>
          </w:p>
        </w:tc>
      </w:tr>
      <w:tr w14:paraId="60C2E0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1087CC32">
            <w:pPr>
              <w:snapToGrid w:val="0"/>
              <w:jc w:val="center"/>
              <w:rPr>
                <w:rFonts w:hint="eastAsia" w:hAnsi="宋体"/>
                <w:color w:val="auto"/>
                <w:sz w:val="21"/>
                <w:szCs w:val="21"/>
              </w:rPr>
            </w:pPr>
            <w:r>
              <w:rPr>
                <w:rFonts w:hint="eastAsia" w:hAnsi="宋体"/>
                <w:color w:val="auto"/>
                <w:sz w:val="21"/>
                <w:szCs w:val="21"/>
              </w:rPr>
              <w:t>杂散抑制</w:t>
            </w:r>
          </w:p>
        </w:tc>
        <w:tc>
          <w:tcPr>
            <w:tcW w:w="3598" w:type="pct"/>
            <w:tcMar>
              <w:top w:w="0" w:type="dxa"/>
              <w:left w:w="0" w:type="dxa"/>
              <w:right w:w="0" w:type="dxa"/>
            </w:tcMar>
            <w:vAlign w:val="center"/>
          </w:tcPr>
          <w:p w14:paraId="44B14C24">
            <w:pPr>
              <w:snapToGrid w:val="0"/>
              <w:ind w:left="56" w:leftChars="20" w:right="56" w:rightChars="20"/>
              <w:jc w:val="left"/>
              <w:rPr>
                <w:rFonts w:hint="eastAsia" w:hAnsi="宋体"/>
                <w:color w:val="auto"/>
                <w:sz w:val="21"/>
                <w:szCs w:val="21"/>
              </w:rPr>
            </w:pPr>
            <w:r>
              <w:rPr>
                <w:rFonts w:hint="eastAsia" w:hAnsi="宋体"/>
                <w:color w:val="auto"/>
                <w:sz w:val="21"/>
                <w:szCs w:val="21"/>
              </w:rPr>
              <w:t>70dB</w:t>
            </w:r>
          </w:p>
        </w:tc>
      </w:tr>
      <w:tr w14:paraId="6D40DA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2F3850D4">
            <w:pPr>
              <w:snapToGrid w:val="0"/>
              <w:jc w:val="center"/>
              <w:rPr>
                <w:rFonts w:hint="eastAsia" w:hAnsi="宋体"/>
                <w:color w:val="auto"/>
                <w:sz w:val="21"/>
                <w:szCs w:val="21"/>
              </w:rPr>
            </w:pPr>
            <w:r>
              <w:rPr>
                <w:rFonts w:hint="eastAsia" w:hAnsi="宋体"/>
                <w:color w:val="auto"/>
                <w:sz w:val="21"/>
                <w:szCs w:val="21"/>
              </w:rPr>
              <w:t>发射频率稳定度</w:t>
            </w:r>
          </w:p>
        </w:tc>
        <w:tc>
          <w:tcPr>
            <w:tcW w:w="3598" w:type="pct"/>
            <w:tcMar>
              <w:top w:w="0" w:type="dxa"/>
              <w:left w:w="0" w:type="dxa"/>
              <w:right w:w="0" w:type="dxa"/>
            </w:tcMar>
            <w:vAlign w:val="center"/>
          </w:tcPr>
          <w:p w14:paraId="1E819BC0">
            <w:pPr>
              <w:snapToGrid w:val="0"/>
              <w:ind w:left="56" w:leftChars="20" w:right="56" w:rightChars="20"/>
              <w:jc w:val="left"/>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0.5ppm</w:t>
            </w:r>
          </w:p>
        </w:tc>
      </w:tr>
      <w:tr w14:paraId="6C3D65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6C000BB4">
            <w:pPr>
              <w:snapToGrid w:val="0"/>
              <w:jc w:val="center"/>
              <w:rPr>
                <w:rFonts w:hint="eastAsia" w:hAnsi="宋体"/>
                <w:color w:val="auto"/>
                <w:sz w:val="21"/>
                <w:szCs w:val="21"/>
              </w:rPr>
            </w:pPr>
            <w:r>
              <w:rPr>
                <w:rFonts w:hint="eastAsia" w:hAnsi="宋体"/>
                <w:color w:val="auto"/>
                <w:sz w:val="21"/>
                <w:szCs w:val="21"/>
              </w:rPr>
              <w:t>发射功率</w:t>
            </w:r>
          </w:p>
        </w:tc>
        <w:tc>
          <w:tcPr>
            <w:tcW w:w="3598" w:type="pct"/>
            <w:tcMar>
              <w:top w:w="0" w:type="dxa"/>
              <w:left w:w="0" w:type="dxa"/>
              <w:right w:w="0" w:type="dxa"/>
            </w:tcMar>
            <w:vAlign w:val="center"/>
          </w:tcPr>
          <w:p w14:paraId="58CDDA52">
            <w:pPr>
              <w:snapToGrid w:val="0"/>
              <w:ind w:left="56" w:leftChars="20" w:right="56" w:rightChars="20"/>
              <w:jc w:val="left"/>
              <w:rPr>
                <w:rFonts w:hint="eastAsia" w:hAnsi="宋体"/>
                <w:color w:val="auto"/>
                <w:sz w:val="21"/>
                <w:szCs w:val="21"/>
              </w:rPr>
            </w:pPr>
            <w:r>
              <w:rPr>
                <w:rFonts w:hint="eastAsia" w:hAnsi="宋体"/>
                <w:color w:val="auto"/>
                <w:sz w:val="21"/>
                <w:szCs w:val="21"/>
              </w:rPr>
              <w:t>25W</w:t>
            </w:r>
          </w:p>
        </w:tc>
      </w:tr>
      <w:tr w14:paraId="2BFF99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0A60B844">
            <w:pPr>
              <w:snapToGrid w:val="0"/>
              <w:jc w:val="center"/>
              <w:rPr>
                <w:rFonts w:hint="eastAsia" w:hAnsi="宋体"/>
                <w:color w:val="auto"/>
                <w:sz w:val="21"/>
                <w:szCs w:val="21"/>
              </w:rPr>
            </w:pPr>
            <w:r>
              <w:rPr>
                <w:rFonts w:hint="eastAsia" w:hAnsi="宋体"/>
                <w:color w:val="auto"/>
                <w:sz w:val="21"/>
                <w:szCs w:val="21"/>
              </w:rPr>
              <w:t>调制限制</w:t>
            </w:r>
          </w:p>
        </w:tc>
        <w:tc>
          <w:tcPr>
            <w:tcW w:w="3598" w:type="pct"/>
            <w:tcMar>
              <w:top w:w="0" w:type="dxa"/>
              <w:left w:w="0" w:type="dxa"/>
              <w:right w:w="0" w:type="dxa"/>
            </w:tcMar>
            <w:vAlign w:val="center"/>
          </w:tcPr>
          <w:p w14:paraId="3B89AEB1">
            <w:pPr>
              <w:snapToGrid w:val="0"/>
              <w:ind w:left="56" w:leftChars="20" w:right="56" w:rightChars="20"/>
              <w:jc w:val="left"/>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2.5KHz@12.5KHz/</w:t>
            </w:r>
            <w:r>
              <w:rPr>
                <w:rFonts w:hint="eastAsia" w:ascii="宋体" w:hAnsi="宋体"/>
                <w:color w:val="auto"/>
                <w:sz w:val="21"/>
                <w:szCs w:val="21"/>
              </w:rPr>
              <w:t>±</w:t>
            </w:r>
            <w:r>
              <w:rPr>
                <w:rFonts w:hint="eastAsia" w:hAnsi="宋体"/>
                <w:color w:val="auto"/>
                <w:sz w:val="21"/>
                <w:szCs w:val="21"/>
              </w:rPr>
              <w:t>5KHz@25KHz</w:t>
            </w:r>
          </w:p>
        </w:tc>
      </w:tr>
      <w:tr w14:paraId="6A2603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07B6CEAD">
            <w:pPr>
              <w:snapToGrid w:val="0"/>
              <w:jc w:val="center"/>
              <w:rPr>
                <w:rFonts w:hint="eastAsia" w:hAnsi="宋体"/>
                <w:color w:val="auto"/>
                <w:sz w:val="21"/>
                <w:szCs w:val="21"/>
              </w:rPr>
            </w:pPr>
            <w:r>
              <w:rPr>
                <w:rFonts w:hint="eastAsia" w:hAnsi="宋体"/>
                <w:color w:val="auto"/>
                <w:sz w:val="21"/>
                <w:szCs w:val="21"/>
              </w:rPr>
              <w:t>FM交流声及噪声</w:t>
            </w:r>
          </w:p>
        </w:tc>
        <w:tc>
          <w:tcPr>
            <w:tcW w:w="3598" w:type="pct"/>
            <w:tcMar>
              <w:top w:w="0" w:type="dxa"/>
              <w:left w:w="0" w:type="dxa"/>
              <w:right w:w="0" w:type="dxa"/>
            </w:tcMar>
            <w:vAlign w:val="center"/>
          </w:tcPr>
          <w:p w14:paraId="0B237401">
            <w:pPr>
              <w:snapToGrid w:val="0"/>
              <w:ind w:left="56" w:leftChars="20" w:right="56" w:rightChars="20"/>
              <w:jc w:val="left"/>
              <w:rPr>
                <w:rFonts w:hint="eastAsia" w:hAnsi="宋体"/>
                <w:color w:val="auto"/>
                <w:sz w:val="21"/>
                <w:szCs w:val="21"/>
              </w:rPr>
            </w:pPr>
            <w:r>
              <w:rPr>
                <w:rFonts w:hint="eastAsia" w:hAnsi="宋体"/>
                <w:color w:val="auto"/>
                <w:sz w:val="21"/>
                <w:szCs w:val="21"/>
              </w:rPr>
              <w:t>-40dB@12.5KHz/-45dB@25KHz</w:t>
            </w:r>
          </w:p>
        </w:tc>
      </w:tr>
      <w:tr w14:paraId="6B4939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4F6DE86E">
            <w:pPr>
              <w:snapToGrid w:val="0"/>
              <w:jc w:val="center"/>
              <w:rPr>
                <w:rFonts w:hint="eastAsia" w:hAnsi="宋体"/>
                <w:color w:val="auto"/>
                <w:sz w:val="21"/>
                <w:szCs w:val="21"/>
              </w:rPr>
            </w:pPr>
            <w:r>
              <w:rPr>
                <w:rFonts w:hint="eastAsia" w:hAnsi="宋体"/>
                <w:color w:val="auto"/>
                <w:sz w:val="21"/>
                <w:szCs w:val="21"/>
              </w:rPr>
              <w:t>传导/辐射杂散发射</w:t>
            </w:r>
          </w:p>
        </w:tc>
        <w:tc>
          <w:tcPr>
            <w:tcW w:w="3598" w:type="pct"/>
            <w:tcMar>
              <w:top w:w="0" w:type="dxa"/>
              <w:left w:w="0" w:type="dxa"/>
              <w:right w:w="0" w:type="dxa"/>
            </w:tcMar>
            <w:vAlign w:val="center"/>
          </w:tcPr>
          <w:p w14:paraId="467AACEF">
            <w:pPr>
              <w:snapToGrid w:val="0"/>
              <w:ind w:left="56" w:leftChars="20" w:right="56" w:rightChars="20"/>
              <w:jc w:val="left"/>
              <w:rPr>
                <w:rFonts w:hint="eastAsia" w:hAnsi="宋体"/>
                <w:color w:val="auto"/>
                <w:sz w:val="21"/>
                <w:szCs w:val="21"/>
              </w:rPr>
            </w:pPr>
            <w:r>
              <w:rPr>
                <w:rFonts w:hint="eastAsia" w:hAnsi="宋体"/>
                <w:color w:val="auto"/>
                <w:sz w:val="21"/>
                <w:szCs w:val="21"/>
              </w:rPr>
              <w:t>-36 dBm&lt;1GHz/ -30 dBm&gt;1GHz；</w:t>
            </w:r>
          </w:p>
        </w:tc>
      </w:tr>
      <w:tr w14:paraId="12F96E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731D59BE">
            <w:pPr>
              <w:snapToGrid w:val="0"/>
              <w:jc w:val="center"/>
              <w:rPr>
                <w:rFonts w:hint="eastAsia" w:hAnsi="宋体"/>
                <w:color w:val="auto"/>
                <w:sz w:val="21"/>
                <w:szCs w:val="21"/>
              </w:rPr>
            </w:pPr>
            <w:r>
              <w:rPr>
                <w:rFonts w:hint="eastAsia" w:hAnsi="宋体"/>
                <w:color w:val="auto"/>
                <w:sz w:val="21"/>
                <w:szCs w:val="21"/>
              </w:rPr>
              <w:t>邻道功率</w:t>
            </w:r>
          </w:p>
        </w:tc>
        <w:tc>
          <w:tcPr>
            <w:tcW w:w="3598" w:type="pct"/>
            <w:tcMar>
              <w:top w:w="0" w:type="dxa"/>
              <w:left w:w="0" w:type="dxa"/>
              <w:right w:w="0" w:type="dxa"/>
            </w:tcMar>
            <w:vAlign w:val="center"/>
          </w:tcPr>
          <w:p w14:paraId="4808C1A3">
            <w:pPr>
              <w:snapToGrid w:val="0"/>
              <w:ind w:left="56" w:leftChars="20" w:right="56" w:rightChars="20"/>
              <w:jc w:val="left"/>
              <w:rPr>
                <w:rFonts w:hint="eastAsia" w:hAnsi="宋体"/>
                <w:color w:val="auto"/>
                <w:sz w:val="21"/>
                <w:szCs w:val="21"/>
              </w:rPr>
            </w:pPr>
            <w:r>
              <w:rPr>
                <w:rFonts w:hint="eastAsia" w:hAnsi="宋体"/>
                <w:color w:val="auto"/>
                <w:sz w:val="21"/>
                <w:szCs w:val="21"/>
              </w:rPr>
              <w:t>60dB@12.5KHz/70dB@25KHz</w:t>
            </w:r>
          </w:p>
        </w:tc>
      </w:tr>
      <w:tr w14:paraId="787CFC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0612ACA8">
            <w:pPr>
              <w:snapToGrid w:val="0"/>
              <w:jc w:val="center"/>
              <w:rPr>
                <w:rFonts w:hint="eastAsia" w:hAnsi="宋体"/>
                <w:color w:val="auto"/>
                <w:sz w:val="21"/>
                <w:szCs w:val="21"/>
              </w:rPr>
            </w:pPr>
            <w:r>
              <w:rPr>
                <w:rFonts w:hint="eastAsia" w:hAnsi="宋体"/>
                <w:color w:val="auto"/>
                <w:sz w:val="21"/>
                <w:szCs w:val="21"/>
              </w:rPr>
              <w:t>音频响应</w:t>
            </w:r>
          </w:p>
        </w:tc>
        <w:tc>
          <w:tcPr>
            <w:tcW w:w="3598" w:type="pct"/>
            <w:tcMar>
              <w:top w:w="0" w:type="dxa"/>
              <w:left w:w="0" w:type="dxa"/>
              <w:right w:w="0" w:type="dxa"/>
            </w:tcMar>
            <w:vAlign w:val="center"/>
          </w:tcPr>
          <w:p w14:paraId="15765A90">
            <w:pPr>
              <w:snapToGrid w:val="0"/>
              <w:ind w:left="56" w:leftChars="20" w:right="56" w:rightChars="20"/>
              <w:jc w:val="left"/>
              <w:rPr>
                <w:rFonts w:hint="eastAsia" w:hAnsi="宋体"/>
                <w:color w:val="auto"/>
                <w:sz w:val="21"/>
                <w:szCs w:val="21"/>
              </w:rPr>
            </w:pPr>
            <w:r>
              <w:rPr>
                <w:rFonts w:hint="eastAsia" w:hAnsi="宋体"/>
                <w:color w:val="auto"/>
                <w:sz w:val="21"/>
                <w:szCs w:val="21"/>
              </w:rPr>
              <w:t>TIA603D</w:t>
            </w:r>
          </w:p>
        </w:tc>
      </w:tr>
      <w:tr w14:paraId="1A1B23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6DE667C9">
            <w:pPr>
              <w:snapToGrid w:val="0"/>
              <w:jc w:val="center"/>
              <w:rPr>
                <w:rFonts w:hint="eastAsia" w:hAnsi="宋体"/>
                <w:color w:val="auto"/>
                <w:sz w:val="21"/>
                <w:szCs w:val="21"/>
              </w:rPr>
            </w:pPr>
            <w:r>
              <w:rPr>
                <w:rFonts w:hint="eastAsia" w:hAnsi="宋体"/>
                <w:color w:val="auto"/>
                <w:sz w:val="21"/>
                <w:szCs w:val="21"/>
              </w:rPr>
              <w:t>400M和GPS/北斗天线</w:t>
            </w:r>
          </w:p>
        </w:tc>
        <w:tc>
          <w:tcPr>
            <w:tcW w:w="3598" w:type="pct"/>
            <w:tcMar>
              <w:top w:w="0" w:type="dxa"/>
              <w:left w:w="0" w:type="dxa"/>
              <w:right w:w="0" w:type="dxa"/>
            </w:tcMar>
            <w:vAlign w:val="center"/>
          </w:tcPr>
          <w:p w14:paraId="3B2874F1">
            <w:pPr>
              <w:snapToGrid w:val="0"/>
              <w:ind w:left="56" w:leftChars="20" w:right="56" w:rightChars="20"/>
              <w:jc w:val="left"/>
              <w:rPr>
                <w:rFonts w:hint="eastAsia" w:hAnsi="宋体"/>
                <w:color w:val="auto"/>
                <w:sz w:val="21"/>
                <w:szCs w:val="21"/>
              </w:rPr>
            </w:pPr>
            <w:r>
              <w:rPr>
                <w:rFonts w:hint="eastAsia" w:hAnsi="宋体"/>
                <w:color w:val="auto"/>
                <w:sz w:val="21"/>
                <w:szCs w:val="21"/>
              </w:rPr>
              <w:t>防雨淋、防震@外型高度尺寸应不大于230mm（不含安装架）</w:t>
            </w:r>
          </w:p>
        </w:tc>
      </w:tr>
      <w:tr w14:paraId="208779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1E218F8D">
            <w:pPr>
              <w:snapToGrid w:val="0"/>
              <w:jc w:val="center"/>
              <w:rPr>
                <w:rFonts w:hint="eastAsia" w:hAnsi="宋体"/>
                <w:color w:val="auto"/>
                <w:sz w:val="21"/>
                <w:szCs w:val="21"/>
              </w:rPr>
            </w:pPr>
            <w:r>
              <w:rPr>
                <w:rFonts w:hint="eastAsia" w:hAnsi="宋体"/>
                <w:color w:val="auto"/>
                <w:sz w:val="21"/>
                <w:szCs w:val="21"/>
              </w:rPr>
              <w:t>机车台主机尺寸</w:t>
            </w:r>
          </w:p>
        </w:tc>
        <w:tc>
          <w:tcPr>
            <w:tcW w:w="3598" w:type="pct"/>
            <w:tcMar>
              <w:top w:w="0" w:type="dxa"/>
              <w:left w:w="0" w:type="dxa"/>
              <w:right w:w="0" w:type="dxa"/>
            </w:tcMar>
            <w:vAlign w:val="center"/>
          </w:tcPr>
          <w:p w14:paraId="088CE706">
            <w:pPr>
              <w:snapToGrid w:val="0"/>
              <w:ind w:left="56" w:leftChars="20" w:right="56" w:rightChars="20"/>
              <w:jc w:val="left"/>
              <w:rPr>
                <w:rFonts w:hint="eastAsia" w:hAnsi="宋体"/>
                <w:color w:val="auto"/>
                <w:sz w:val="21"/>
                <w:szCs w:val="21"/>
              </w:rPr>
            </w:pPr>
            <w:r>
              <w:rPr>
                <w:rFonts w:hint="eastAsia" w:hAnsi="宋体"/>
                <w:color w:val="auto"/>
                <w:sz w:val="21"/>
                <w:szCs w:val="21"/>
              </w:rPr>
              <w:t>整机外形最大尺寸：宽</w:t>
            </w:r>
            <w:r>
              <w:rPr>
                <w:rFonts w:hint="eastAsia" w:ascii="宋体" w:hAnsi="宋体"/>
                <w:color w:val="auto"/>
                <w:sz w:val="21"/>
                <w:szCs w:val="21"/>
              </w:rPr>
              <w:t>×</w:t>
            </w:r>
            <w:r>
              <w:rPr>
                <w:rFonts w:hint="eastAsia" w:hAnsi="宋体"/>
                <w:color w:val="auto"/>
                <w:sz w:val="21"/>
                <w:szCs w:val="21"/>
              </w:rPr>
              <w:t>深</w:t>
            </w:r>
            <w:r>
              <w:rPr>
                <w:rFonts w:hint="eastAsia" w:ascii="宋体" w:hAnsi="宋体"/>
                <w:color w:val="auto"/>
                <w:sz w:val="21"/>
                <w:szCs w:val="21"/>
              </w:rPr>
              <w:t>×</w:t>
            </w:r>
            <w:r>
              <w:rPr>
                <w:rFonts w:hint="eastAsia" w:hAnsi="宋体"/>
                <w:color w:val="auto"/>
                <w:sz w:val="21"/>
                <w:szCs w:val="21"/>
              </w:rPr>
              <w:t>高：260mm</w:t>
            </w:r>
            <w:r>
              <w:rPr>
                <w:rFonts w:hint="eastAsia" w:ascii="宋体" w:hAnsi="宋体"/>
                <w:color w:val="auto"/>
                <w:sz w:val="21"/>
                <w:szCs w:val="21"/>
              </w:rPr>
              <w:t>×</w:t>
            </w:r>
            <w:r>
              <w:rPr>
                <w:rFonts w:hint="eastAsia" w:hAnsi="宋体"/>
                <w:color w:val="auto"/>
                <w:sz w:val="21"/>
                <w:szCs w:val="21"/>
              </w:rPr>
              <w:t>330mm</w:t>
            </w:r>
            <w:r>
              <w:rPr>
                <w:rFonts w:hint="eastAsia" w:ascii="宋体" w:hAnsi="宋体"/>
                <w:color w:val="auto"/>
                <w:sz w:val="21"/>
                <w:szCs w:val="21"/>
              </w:rPr>
              <w:t>×</w:t>
            </w:r>
            <w:r>
              <w:rPr>
                <w:rFonts w:hint="eastAsia" w:hAnsi="宋体"/>
                <w:color w:val="auto"/>
                <w:sz w:val="21"/>
                <w:szCs w:val="21"/>
              </w:rPr>
              <w:t>132mm</w:t>
            </w:r>
          </w:p>
        </w:tc>
      </w:tr>
      <w:tr w14:paraId="2A1C05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085265B8">
            <w:pPr>
              <w:snapToGrid w:val="0"/>
              <w:jc w:val="center"/>
              <w:rPr>
                <w:rFonts w:hint="eastAsia" w:hAnsi="宋体"/>
                <w:color w:val="auto"/>
                <w:sz w:val="21"/>
                <w:szCs w:val="21"/>
              </w:rPr>
            </w:pPr>
            <w:r>
              <w:rPr>
                <w:rFonts w:hint="eastAsia" w:hAnsi="宋体"/>
                <w:color w:val="auto"/>
                <w:sz w:val="21"/>
                <w:szCs w:val="21"/>
              </w:rPr>
              <w:t>控制盒尺寸</w:t>
            </w:r>
          </w:p>
        </w:tc>
        <w:tc>
          <w:tcPr>
            <w:tcW w:w="3598" w:type="pct"/>
            <w:tcMar>
              <w:top w:w="0" w:type="dxa"/>
              <w:left w:w="0" w:type="dxa"/>
              <w:right w:w="0" w:type="dxa"/>
            </w:tcMar>
            <w:vAlign w:val="center"/>
          </w:tcPr>
          <w:p w14:paraId="5C14EEDA">
            <w:pPr>
              <w:snapToGrid w:val="0"/>
              <w:ind w:left="56" w:leftChars="20" w:right="56" w:rightChars="20"/>
              <w:jc w:val="left"/>
              <w:rPr>
                <w:rFonts w:hint="eastAsia" w:hAnsi="宋体"/>
                <w:color w:val="auto"/>
                <w:sz w:val="21"/>
                <w:szCs w:val="21"/>
              </w:rPr>
            </w:pPr>
            <w:r>
              <w:rPr>
                <w:rFonts w:hint="eastAsia" w:hAnsi="宋体"/>
                <w:color w:val="auto"/>
                <w:sz w:val="21"/>
                <w:szCs w:val="21"/>
              </w:rPr>
              <w:t>&lt;195mmx120mmx60mm</w:t>
            </w:r>
          </w:p>
        </w:tc>
      </w:tr>
      <w:tr w14:paraId="3FB4B9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00" w:type="pct"/>
            <w:gridSpan w:val="2"/>
            <w:tcMar>
              <w:top w:w="0" w:type="dxa"/>
              <w:left w:w="0" w:type="dxa"/>
              <w:right w:w="0" w:type="dxa"/>
            </w:tcMar>
            <w:vAlign w:val="center"/>
          </w:tcPr>
          <w:p w14:paraId="0FFB889D">
            <w:pPr>
              <w:snapToGrid w:val="0"/>
              <w:jc w:val="center"/>
              <w:rPr>
                <w:rFonts w:hint="eastAsia" w:hAnsi="宋体"/>
                <w:color w:val="auto"/>
                <w:sz w:val="21"/>
                <w:szCs w:val="21"/>
              </w:rPr>
            </w:pPr>
            <w:r>
              <w:rPr>
                <w:rFonts w:hint="eastAsia" w:hAnsi="宋体"/>
                <w:color w:val="auto"/>
                <w:sz w:val="21"/>
                <w:szCs w:val="21"/>
              </w:rPr>
              <w:t>GPS/北斗接收机</w:t>
            </w:r>
          </w:p>
        </w:tc>
      </w:tr>
      <w:tr w14:paraId="3442FD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133525F3">
            <w:pPr>
              <w:snapToGrid w:val="0"/>
              <w:jc w:val="center"/>
              <w:rPr>
                <w:rFonts w:hint="eastAsia" w:hAnsi="宋体"/>
                <w:color w:val="auto"/>
                <w:sz w:val="21"/>
                <w:szCs w:val="21"/>
              </w:rPr>
            </w:pPr>
            <w:r>
              <w:rPr>
                <w:rFonts w:hint="eastAsia" w:hAnsi="宋体"/>
                <w:color w:val="auto"/>
                <w:sz w:val="21"/>
                <w:szCs w:val="21"/>
              </w:rPr>
              <w:t>动态范围</w:t>
            </w:r>
          </w:p>
        </w:tc>
        <w:tc>
          <w:tcPr>
            <w:tcW w:w="3598" w:type="pct"/>
            <w:tcMar>
              <w:top w:w="0" w:type="dxa"/>
              <w:left w:w="0" w:type="dxa"/>
              <w:right w:w="0" w:type="dxa"/>
            </w:tcMar>
            <w:vAlign w:val="center"/>
          </w:tcPr>
          <w:p w14:paraId="78FD9B7D">
            <w:pPr>
              <w:snapToGrid w:val="0"/>
              <w:ind w:left="56" w:leftChars="20" w:right="56" w:rightChars="20"/>
              <w:jc w:val="left"/>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27dB</w:t>
            </w:r>
          </w:p>
        </w:tc>
      </w:tr>
      <w:tr w14:paraId="233485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090F70D3">
            <w:pPr>
              <w:snapToGrid w:val="0"/>
              <w:jc w:val="center"/>
              <w:rPr>
                <w:rFonts w:hint="eastAsia" w:hAnsi="宋体"/>
                <w:color w:val="auto"/>
                <w:sz w:val="21"/>
                <w:szCs w:val="21"/>
              </w:rPr>
            </w:pPr>
            <w:r>
              <w:rPr>
                <w:rFonts w:hint="eastAsia" w:hAnsi="宋体"/>
                <w:color w:val="auto"/>
                <w:sz w:val="21"/>
                <w:szCs w:val="21"/>
              </w:rPr>
              <w:t>灵敏度</w:t>
            </w:r>
          </w:p>
        </w:tc>
        <w:tc>
          <w:tcPr>
            <w:tcW w:w="3598" w:type="pct"/>
            <w:tcMar>
              <w:top w:w="0" w:type="dxa"/>
              <w:left w:w="0" w:type="dxa"/>
              <w:right w:w="0" w:type="dxa"/>
            </w:tcMar>
            <w:vAlign w:val="center"/>
          </w:tcPr>
          <w:p w14:paraId="30680FD7">
            <w:pPr>
              <w:snapToGrid w:val="0"/>
              <w:ind w:left="56" w:leftChars="20" w:right="56" w:rightChars="20"/>
              <w:jc w:val="left"/>
              <w:rPr>
                <w:rFonts w:hint="eastAsia" w:hAnsi="宋体"/>
                <w:color w:val="auto"/>
                <w:sz w:val="21"/>
                <w:szCs w:val="21"/>
              </w:rPr>
            </w:pPr>
            <w:r>
              <w:rPr>
                <w:rFonts w:hint="eastAsia" w:hAnsi="宋体"/>
                <w:color w:val="auto"/>
                <w:sz w:val="21"/>
                <w:szCs w:val="21"/>
              </w:rPr>
              <w:t>跟踪 -155dBm/捕获 -140dBm/热启重捕 -145dBm</w:t>
            </w:r>
          </w:p>
        </w:tc>
      </w:tr>
      <w:tr w14:paraId="27B347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310547C7">
            <w:pPr>
              <w:snapToGrid w:val="0"/>
              <w:jc w:val="center"/>
              <w:rPr>
                <w:rFonts w:hint="eastAsia" w:hAnsi="宋体"/>
                <w:color w:val="auto"/>
                <w:sz w:val="21"/>
                <w:szCs w:val="21"/>
              </w:rPr>
            </w:pPr>
            <w:r>
              <w:rPr>
                <w:rFonts w:hint="eastAsia" w:hAnsi="宋体"/>
                <w:color w:val="auto"/>
                <w:sz w:val="21"/>
                <w:szCs w:val="21"/>
              </w:rPr>
              <w:t>饱和值</w:t>
            </w:r>
          </w:p>
        </w:tc>
        <w:tc>
          <w:tcPr>
            <w:tcW w:w="3598" w:type="pct"/>
            <w:tcMar>
              <w:top w:w="0" w:type="dxa"/>
              <w:left w:w="0" w:type="dxa"/>
              <w:right w:w="0" w:type="dxa"/>
            </w:tcMar>
            <w:vAlign w:val="center"/>
          </w:tcPr>
          <w:p w14:paraId="329F635A">
            <w:pPr>
              <w:snapToGrid w:val="0"/>
              <w:ind w:left="56" w:leftChars="20" w:right="56" w:rightChars="20"/>
              <w:jc w:val="left"/>
              <w:rPr>
                <w:rFonts w:hint="eastAsia" w:hAnsi="宋体"/>
                <w:color w:val="auto"/>
                <w:sz w:val="21"/>
                <w:szCs w:val="21"/>
              </w:rPr>
            </w:pPr>
            <w:r>
              <w:rPr>
                <w:rFonts w:hint="eastAsia" w:hAnsi="宋体"/>
                <w:color w:val="auto"/>
                <w:sz w:val="21"/>
                <w:szCs w:val="21"/>
              </w:rPr>
              <w:t>-110dBm</w:t>
            </w:r>
          </w:p>
        </w:tc>
      </w:tr>
      <w:tr w14:paraId="6CD526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23BDFD70">
            <w:pPr>
              <w:snapToGrid w:val="0"/>
              <w:jc w:val="center"/>
              <w:rPr>
                <w:rFonts w:hint="eastAsia" w:hAnsi="宋体"/>
                <w:color w:val="auto"/>
                <w:sz w:val="21"/>
                <w:szCs w:val="21"/>
              </w:rPr>
            </w:pPr>
            <w:r>
              <w:rPr>
                <w:rFonts w:hint="eastAsia" w:hAnsi="宋体"/>
                <w:color w:val="auto"/>
                <w:sz w:val="21"/>
                <w:szCs w:val="21"/>
              </w:rPr>
              <w:t>定位精度</w:t>
            </w:r>
          </w:p>
        </w:tc>
        <w:tc>
          <w:tcPr>
            <w:tcW w:w="3598" w:type="pct"/>
            <w:tcMar>
              <w:top w:w="0" w:type="dxa"/>
              <w:left w:w="0" w:type="dxa"/>
              <w:right w:w="0" w:type="dxa"/>
            </w:tcMar>
            <w:vAlign w:val="center"/>
          </w:tcPr>
          <w:p w14:paraId="4AB069BC">
            <w:pPr>
              <w:snapToGrid w:val="0"/>
              <w:ind w:left="56" w:leftChars="20" w:right="56" w:rightChars="20"/>
              <w:jc w:val="left"/>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10m  2D RMS</w:t>
            </w:r>
          </w:p>
        </w:tc>
      </w:tr>
      <w:tr w14:paraId="51A3DD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4821382E">
            <w:pPr>
              <w:snapToGrid w:val="0"/>
              <w:jc w:val="center"/>
              <w:rPr>
                <w:rFonts w:hint="eastAsia" w:hAnsi="宋体"/>
                <w:color w:val="auto"/>
                <w:sz w:val="21"/>
                <w:szCs w:val="21"/>
              </w:rPr>
            </w:pPr>
            <w:r>
              <w:rPr>
                <w:rFonts w:hint="eastAsia" w:hAnsi="宋体"/>
                <w:color w:val="auto"/>
                <w:sz w:val="21"/>
                <w:szCs w:val="21"/>
              </w:rPr>
              <w:t>初次定位时间</w:t>
            </w:r>
          </w:p>
        </w:tc>
        <w:tc>
          <w:tcPr>
            <w:tcW w:w="3598" w:type="pct"/>
            <w:tcMar>
              <w:top w:w="0" w:type="dxa"/>
              <w:left w:w="0" w:type="dxa"/>
              <w:right w:w="0" w:type="dxa"/>
            </w:tcMar>
            <w:vAlign w:val="center"/>
          </w:tcPr>
          <w:p w14:paraId="3D7521F1">
            <w:pPr>
              <w:snapToGrid w:val="0"/>
              <w:ind w:left="56" w:leftChars="20" w:right="56" w:rightChars="20"/>
              <w:jc w:val="left"/>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30s</w:t>
            </w:r>
          </w:p>
        </w:tc>
      </w:tr>
      <w:tr w14:paraId="289E52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166B39F7">
            <w:pPr>
              <w:snapToGrid w:val="0"/>
              <w:jc w:val="center"/>
              <w:rPr>
                <w:rFonts w:hint="eastAsia" w:hAnsi="宋体"/>
                <w:color w:val="auto"/>
                <w:sz w:val="21"/>
                <w:szCs w:val="21"/>
              </w:rPr>
            </w:pPr>
            <w:r>
              <w:rPr>
                <w:rFonts w:hint="eastAsia" w:hAnsi="宋体"/>
                <w:color w:val="auto"/>
                <w:sz w:val="21"/>
                <w:szCs w:val="21"/>
              </w:rPr>
              <w:t>热启动重捕获时间</w:t>
            </w:r>
          </w:p>
        </w:tc>
        <w:tc>
          <w:tcPr>
            <w:tcW w:w="3598" w:type="pct"/>
            <w:tcMar>
              <w:top w:w="0" w:type="dxa"/>
              <w:left w:w="0" w:type="dxa"/>
              <w:right w:w="0" w:type="dxa"/>
            </w:tcMar>
            <w:vAlign w:val="center"/>
          </w:tcPr>
          <w:p w14:paraId="2A9B732D">
            <w:pPr>
              <w:snapToGrid w:val="0"/>
              <w:ind w:left="56" w:leftChars="20" w:right="56" w:rightChars="20"/>
              <w:jc w:val="left"/>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5s</w:t>
            </w:r>
          </w:p>
        </w:tc>
      </w:tr>
      <w:tr w14:paraId="7627E3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00" w:type="pct"/>
            <w:gridSpan w:val="2"/>
            <w:tcMar>
              <w:top w:w="0" w:type="dxa"/>
              <w:left w:w="0" w:type="dxa"/>
              <w:right w:w="0" w:type="dxa"/>
            </w:tcMar>
            <w:vAlign w:val="center"/>
          </w:tcPr>
          <w:p w14:paraId="5CDF1B51">
            <w:pPr>
              <w:snapToGrid w:val="0"/>
              <w:jc w:val="center"/>
              <w:rPr>
                <w:rFonts w:hint="eastAsia" w:hAnsi="宋体"/>
                <w:color w:val="auto"/>
                <w:sz w:val="21"/>
                <w:szCs w:val="21"/>
              </w:rPr>
            </w:pPr>
            <w:r>
              <w:rPr>
                <w:rFonts w:hint="eastAsia" w:hAnsi="宋体"/>
                <w:color w:val="auto"/>
                <w:sz w:val="21"/>
                <w:szCs w:val="21"/>
              </w:rPr>
              <w:t>工作环境</w:t>
            </w:r>
          </w:p>
        </w:tc>
      </w:tr>
      <w:tr w14:paraId="46FE77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734F3648">
            <w:pPr>
              <w:snapToGrid w:val="0"/>
              <w:jc w:val="center"/>
              <w:rPr>
                <w:rFonts w:hint="eastAsia" w:hAnsi="宋体"/>
                <w:color w:val="auto"/>
                <w:sz w:val="21"/>
                <w:szCs w:val="21"/>
              </w:rPr>
            </w:pPr>
            <w:r>
              <w:rPr>
                <w:rFonts w:hint="eastAsia" w:hAnsi="宋体"/>
                <w:color w:val="auto"/>
                <w:sz w:val="21"/>
                <w:szCs w:val="21"/>
              </w:rPr>
              <w:t>工作温度范围</w:t>
            </w:r>
          </w:p>
        </w:tc>
        <w:tc>
          <w:tcPr>
            <w:tcW w:w="3598" w:type="pct"/>
            <w:tcMar>
              <w:top w:w="0" w:type="dxa"/>
              <w:left w:w="0" w:type="dxa"/>
              <w:right w:w="0" w:type="dxa"/>
            </w:tcMar>
            <w:vAlign w:val="center"/>
          </w:tcPr>
          <w:p w14:paraId="40E25C5F">
            <w:pPr>
              <w:snapToGrid w:val="0"/>
              <w:ind w:left="56" w:leftChars="20" w:right="56" w:rightChars="20"/>
              <w:jc w:val="left"/>
              <w:rPr>
                <w:rFonts w:hint="eastAsia" w:hAnsi="宋体"/>
                <w:color w:val="auto"/>
                <w:sz w:val="21"/>
                <w:szCs w:val="21"/>
              </w:rPr>
            </w:pPr>
            <w:r>
              <w:rPr>
                <w:rFonts w:hint="eastAsia" w:hAnsi="宋体"/>
                <w:color w:val="auto"/>
                <w:sz w:val="21"/>
                <w:szCs w:val="21"/>
              </w:rPr>
              <w:t>-25</w:t>
            </w:r>
            <w:r>
              <w:rPr>
                <w:rFonts w:hint="eastAsia" w:ascii="宋体" w:hAnsi="宋体"/>
                <w:color w:val="auto"/>
                <w:sz w:val="21"/>
                <w:szCs w:val="21"/>
              </w:rPr>
              <w:t>～</w:t>
            </w:r>
            <w:r>
              <w:rPr>
                <w:rFonts w:hint="eastAsia" w:hAnsi="宋体"/>
                <w:color w:val="auto"/>
                <w:sz w:val="21"/>
                <w:szCs w:val="21"/>
              </w:rPr>
              <w:t>55度</w:t>
            </w:r>
          </w:p>
        </w:tc>
      </w:tr>
      <w:tr w14:paraId="696E3A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2B491A79">
            <w:pPr>
              <w:snapToGrid w:val="0"/>
              <w:jc w:val="center"/>
              <w:rPr>
                <w:rFonts w:hint="eastAsia" w:hAnsi="宋体"/>
                <w:color w:val="auto"/>
                <w:sz w:val="21"/>
                <w:szCs w:val="21"/>
              </w:rPr>
            </w:pPr>
            <w:r>
              <w:rPr>
                <w:rFonts w:hint="eastAsia" w:hAnsi="宋体"/>
                <w:color w:val="auto"/>
                <w:sz w:val="21"/>
                <w:szCs w:val="21"/>
              </w:rPr>
              <w:t>工作电流</w:t>
            </w:r>
          </w:p>
        </w:tc>
        <w:tc>
          <w:tcPr>
            <w:tcW w:w="3598" w:type="pct"/>
            <w:tcMar>
              <w:top w:w="0" w:type="dxa"/>
              <w:left w:w="0" w:type="dxa"/>
              <w:right w:w="0" w:type="dxa"/>
            </w:tcMar>
            <w:vAlign w:val="center"/>
          </w:tcPr>
          <w:p w14:paraId="2E896ED9">
            <w:pPr>
              <w:snapToGrid w:val="0"/>
              <w:ind w:left="56" w:leftChars="20" w:right="56" w:rightChars="20"/>
              <w:jc w:val="left"/>
              <w:rPr>
                <w:rFonts w:hint="eastAsia" w:hAnsi="宋体"/>
                <w:color w:val="auto"/>
                <w:sz w:val="21"/>
                <w:szCs w:val="21"/>
              </w:rPr>
            </w:pPr>
            <w:r>
              <w:rPr>
                <w:rFonts w:hint="eastAsia" w:hAnsi="宋体"/>
                <w:color w:val="auto"/>
                <w:sz w:val="21"/>
                <w:szCs w:val="21"/>
              </w:rPr>
              <w:t xml:space="preserve">110V </w:t>
            </w:r>
            <w:r>
              <w:rPr>
                <w:rFonts w:hint="eastAsia" w:ascii="宋体" w:hAnsi="宋体"/>
                <w:color w:val="auto"/>
                <w:sz w:val="21"/>
                <w:szCs w:val="21"/>
              </w:rPr>
              <w:t>～</w:t>
            </w:r>
            <w:r>
              <w:rPr>
                <w:rFonts w:hint="eastAsia" w:hAnsi="宋体"/>
                <w:color w:val="auto"/>
                <w:sz w:val="21"/>
                <w:szCs w:val="21"/>
              </w:rPr>
              <w:t>1.1A最大</w:t>
            </w:r>
          </w:p>
        </w:tc>
      </w:tr>
      <w:tr w14:paraId="05FFCD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44D92884">
            <w:pPr>
              <w:snapToGrid w:val="0"/>
              <w:jc w:val="center"/>
              <w:rPr>
                <w:rFonts w:hint="eastAsia" w:hAnsi="宋体"/>
                <w:color w:val="auto"/>
                <w:sz w:val="21"/>
                <w:szCs w:val="21"/>
              </w:rPr>
            </w:pPr>
            <w:r>
              <w:rPr>
                <w:rFonts w:hint="eastAsia" w:hAnsi="宋体"/>
                <w:color w:val="auto"/>
                <w:sz w:val="21"/>
                <w:szCs w:val="21"/>
              </w:rPr>
              <w:t>电源输入范围</w:t>
            </w:r>
          </w:p>
        </w:tc>
        <w:tc>
          <w:tcPr>
            <w:tcW w:w="3598" w:type="pct"/>
            <w:tcMar>
              <w:top w:w="0" w:type="dxa"/>
              <w:left w:w="0" w:type="dxa"/>
              <w:right w:w="0" w:type="dxa"/>
            </w:tcMar>
            <w:vAlign w:val="center"/>
          </w:tcPr>
          <w:p w14:paraId="59F4236C">
            <w:pPr>
              <w:snapToGrid w:val="0"/>
              <w:ind w:left="56" w:leftChars="20" w:right="56" w:rightChars="20"/>
              <w:jc w:val="left"/>
              <w:rPr>
                <w:rFonts w:hint="eastAsia" w:hAnsi="宋体"/>
                <w:color w:val="auto"/>
                <w:sz w:val="21"/>
                <w:szCs w:val="21"/>
              </w:rPr>
            </w:pPr>
            <w:r>
              <w:rPr>
                <w:rFonts w:hint="eastAsia" w:hAnsi="宋体"/>
                <w:color w:val="auto"/>
                <w:sz w:val="21"/>
                <w:szCs w:val="21"/>
              </w:rPr>
              <w:t>66-160VDC</w:t>
            </w:r>
          </w:p>
        </w:tc>
      </w:tr>
      <w:tr w14:paraId="369303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00" w:type="pct"/>
            <w:gridSpan w:val="2"/>
            <w:tcMar>
              <w:top w:w="0" w:type="dxa"/>
              <w:left w:w="0" w:type="dxa"/>
              <w:right w:w="0" w:type="dxa"/>
            </w:tcMar>
            <w:vAlign w:val="center"/>
          </w:tcPr>
          <w:p w14:paraId="4178138E">
            <w:pPr>
              <w:snapToGrid w:val="0"/>
              <w:jc w:val="center"/>
              <w:rPr>
                <w:rFonts w:hint="eastAsia" w:hAnsi="宋体"/>
                <w:color w:val="auto"/>
                <w:sz w:val="21"/>
                <w:szCs w:val="21"/>
              </w:rPr>
            </w:pPr>
            <w:r>
              <w:rPr>
                <w:rFonts w:hint="eastAsia" w:hAnsi="宋体"/>
                <w:color w:val="auto"/>
                <w:sz w:val="21"/>
                <w:szCs w:val="21"/>
              </w:rPr>
              <w:t>音频</w:t>
            </w:r>
          </w:p>
        </w:tc>
      </w:tr>
      <w:tr w14:paraId="73333F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40F39810">
            <w:pPr>
              <w:snapToGrid w:val="0"/>
              <w:jc w:val="center"/>
              <w:rPr>
                <w:rFonts w:hint="eastAsia" w:hAnsi="宋体"/>
                <w:color w:val="auto"/>
                <w:sz w:val="21"/>
                <w:szCs w:val="21"/>
              </w:rPr>
            </w:pPr>
            <w:r>
              <w:rPr>
                <w:rFonts w:hint="eastAsia" w:hAnsi="宋体"/>
                <w:color w:val="auto"/>
                <w:sz w:val="21"/>
                <w:szCs w:val="21"/>
              </w:rPr>
              <w:t>音频失真</w:t>
            </w:r>
          </w:p>
        </w:tc>
        <w:tc>
          <w:tcPr>
            <w:tcW w:w="3598" w:type="pct"/>
            <w:tcMar>
              <w:top w:w="0" w:type="dxa"/>
              <w:left w:w="0" w:type="dxa"/>
              <w:right w:w="0" w:type="dxa"/>
            </w:tcMar>
            <w:vAlign w:val="center"/>
          </w:tcPr>
          <w:p w14:paraId="5C1D82E4">
            <w:pPr>
              <w:snapToGrid w:val="0"/>
              <w:ind w:left="56" w:leftChars="20" w:right="56" w:rightChars="20"/>
              <w:jc w:val="left"/>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5%</w:t>
            </w:r>
          </w:p>
        </w:tc>
      </w:tr>
      <w:tr w14:paraId="022840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2" w:type="pct"/>
            <w:tcMar>
              <w:top w:w="0" w:type="dxa"/>
              <w:left w:w="0" w:type="dxa"/>
              <w:right w:w="0" w:type="dxa"/>
            </w:tcMar>
            <w:vAlign w:val="center"/>
          </w:tcPr>
          <w:p w14:paraId="1028D599">
            <w:pPr>
              <w:snapToGrid w:val="0"/>
              <w:jc w:val="center"/>
              <w:rPr>
                <w:rFonts w:hint="eastAsia" w:hAnsi="宋体"/>
                <w:color w:val="auto"/>
                <w:sz w:val="21"/>
                <w:szCs w:val="21"/>
              </w:rPr>
            </w:pPr>
            <w:r>
              <w:rPr>
                <w:rFonts w:hint="eastAsia" w:hAnsi="宋体"/>
                <w:color w:val="auto"/>
                <w:sz w:val="21"/>
                <w:szCs w:val="21"/>
              </w:rPr>
              <w:t>音频输出功率</w:t>
            </w:r>
          </w:p>
        </w:tc>
        <w:tc>
          <w:tcPr>
            <w:tcW w:w="3598" w:type="pct"/>
            <w:tcMar>
              <w:top w:w="0" w:type="dxa"/>
              <w:left w:w="0" w:type="dxa"/>
              <w:right w:w="0" w:type="dxa"/>
            </w:tcMar>
            <w:vAlign w:val="center"/>
          </w:tcPr>
          <w:p w14:paraId="0997085B">
            <w:pPr>
              <w:snapToGrid w:val="0"/>
              <w:ind w:left="56" w:leftChars="20" w:right="56" w:rightChars="20"/>
              <w:jc w:val="left"/>
              <w:rPr>
                <w:rFonts w:hint="eastAsia" w:hAnsi="宋体"/>
                <w:color w:val="auto"/>
                <w:sz w:val="21"/>
                <w:szCs w:val="21"/>
              </w:rPr>
            </w:pPr>
            <w:r>
              <w:rPr>
                <w:rFonts w:hint="eastAsia" w:hAnsi="宋体"/>
                <w:color w:val="auto"/>
                <w:sz w:val="21"/>
                <w:szCs w:val="21"/>
              </w:rPr>
              <w:t>7W</w:t>
            </w:r>
          </w:p>
        </w:tc>
      </w:tr>
    </w:tbl>
    <w:p w14:paraId="7B234EED">
      <w:pPr>
        <w:ind w:firstLine="422" w:firstLineChars="200"/>
        <w:rPr>
          <w:rFonts w:hint="eastAsia" w:hAnsi="宋体"/>
          <w:color w:val="auto"/>
          <w:sz w:val="21"/>
          <w:szCs w:val="21"/>
        </w:rPr>
      </w:pPr>
      <w:r>
        <w:rPr>
          <w:rFonts w:hint="eastAsia"/>
          <w:b/>
          <w:bCs/>
          <w:color w:val="auto"/>
          <w:sz w:val="21"/>
          <w:szCs w:val="21"/>
        </w:rPr>
        <w:t>6.2</w:t>
      </w:r>
      <w:r>
        <w:rPr>
          <w:rFonts w:hAnsi="宋体"/>
          <w:b/>
          <w:bCs/>
          <w:color w:val="auto"/>
          <w:sz w:val="21"/>
          <w:szCs w:val="21"/>
        </w:rPr>
        <w:t xml:space="preserve">.8  </w:t>
      </w:r>
      <w:r>
        <w:rPr>
          <w:rFonts w:hint="eastAsia"/>
          <w:b/>
          <w:bCs/>
          <w:color w:val="auto"/>
          <w:sz w:val="21"/>
          <w:szCs w:val="21"/>
        </w:rPr>
        <w:t>手持</w:t>
      </w:r>
      <w:r>
        <w:rPr>
          <w:rFonts w:hint="eastAsia" w:hAnsi="宋体"/>
          <w:b/>
          <w:bCs/>
          <w:color w:val="auto"/>
          <w:sz w:val="21"/>
          <w:szCs w:val="21"/>
        </w:rPr>
        <w:t>台</w:t>
      </w:r>
    </w:p>
    <w:p w14:paraId="1497C7F2">
      <w:pPr>
        <w:ind w:firstLine="420" w:firstLineChars="200"/>
        <w:rPr>
          <w:color w:val="auto"/>
          <w:sz w:val="21"/>
          <w:szCs w:val="21"/>
        </w:rPr>
      </w:pPr>
      <w:r>
        <w:rPr>
          <w:rFonts w:hint="eastAsia"/>
          <w:color w:val="auto"/>
          <w:sz w:val="21"/>
          <w:szCs w:val="21"/>
        </w:rPr>
        <w:t>无线行车通信系统手持台及道口预警系统手持台</w:t>
      </w:r>
    </w:p>
    <w:p w14:paraId="1DDE4D7B">
      <w:pPr>
        <w:ind w:firstLine="420" w:firstLineChars="200"/>
        <w:rPr>
          <w:color w:val="auto"/>
          <w:sz w:val="21"/>
          <w:szCs w:val="21"/>
        </w:rPr>
      </w:pPr>
      <w:r>
        <w:rPr>
          <w:rFonts w:hint="eastAsia"/>
          <w:color w:val="auto"/>
          <w:sz w:val="21"/>
          <w:szCs w:val="21"/>
        </w:rPr>
        <w:t>手持台与系统配合实现</w:t>
      </w:r>
      <w:r>
        <w:rPr>
          <w:color w:val="auto"/>
          <w:sz w:val="21"/>
          <w:szCs w:val="21"/>
        </w:rPr>
        <w:t>DMR</w:t>
      </w:r>
      <w:r>
        <w:rPr>
          <w:rFonts w:hint="eastAsia"/>
          <w:color w:val="auto"/>
          <w:sz w:val="21"/>
          <w:szCs w:val="21"/>
        </w:rPr>
        <w:t>行车调度、道口联控通信等功能。</w:t>
      </w:r>
    </w:p>
    <w:p w14:paraId="744F34DB">
      <w:pPr>
        <w:ind w:firstLine="420" w:firstLineChars="200"/>
        <w:rPr>
          <w:color w:val="auto"/>
          <w:sz w:val="21"/>
          <w:szCs w:val="21"/>
        </w:rPr>
      </w:pPr>
      <w:r>
        <w:rPr>
          <w:rFonts w:hint="eastAsia"/>
          <w:color w:val="auto"/>
          <w:sz w:val="21"/>
          <w:szCs w:val="21"/>
        </w:rPr>
        <w:t>无线行车通信系统手持台及道口预警系统手持台技术指标不低于下表的要求：</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275"/>
        <w:gridCol w:w="5051"/>
      </w:tblGrid>
      <w:tr w14:paraId="22FE20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1967" w:type="pct"/>
            <w:tcMar>
              <w:top w:w="0" w:type="dxa"/>
              <w:left w:w="0" w:type="dxa"/>
              <w:right w:w="0" w:type="dxa"/>
            </w:tcMar>
            <w:vAlign w:val="center"/>
          </w:tcPr>
          <w:p w14:paraId="1DABB936">
            <w:pPr>
              <w:snapToGrid w:val="0"/>
              <w:jc w:val="center"/>
              <w:rPr>
                <w:color w:val="auto"/>
                <w:sz w:val="21"/>
                <w:szCs w:val="21"/>
              </w:rPr>
            </w:pPr>
            <w:r>
              <w:rPr>
                <w:rFonts w:hint="eastAsia"/>
                <w:color w:val="auto"/>
                <w:sz w:val="21"/>
                <w:szCs w:val="21"/>
              </w:rPr>
              <w:t>规格名称</w:t>
            </w:r>
          </w:p>
        </w:tc>
        <w:tc>
          <w:tcPr>
            <w:tcW w:w="3033" w:type="pct"/>
            <w:tcMar>
              <w:top w:w="0" w:type="dxa"/>
              <w:left w:w="0" w:type="dxa"/>
              <w:right w:w="0" w:type="dxa"/>
            </w:tcMar>
            <w:vAlign w:val="center"/>
          </w:tcPr>
          <w:p w14:paraId="5FED05A3">
            <w:pPr>
              <w:snapToGrid w:val="0"/>
              <w:jc w:val="center"/>
              <w:rPr>
                <w:color w:val="auto"/>
                <w:sz w:val="21"/>
                <w:szCs w:val="21"/>
              </w:rPr>
            </w:pPr>
            <w:r>
              <w:rPr>
                <w:rFonts w:hint="eastAsia"/>
                <w:color w:val="auto"/>
                <w:sz w:val="21"/>
                <w:szCs w:val="21"/>
              </w:rPr>
              <w:t>规  格</w:t>
            </w:r>
          </w:p>
        </w:tc>
      </w:tr>
      <w:tr w14:paraId="05B82B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25" w:hRule="atLeast"/>
          <w:jc w:val="center"/>
        </w:trPr>
        <w:tc>
          <w:tcPr>
            <w:tcW w:w="5000" w:type="pct"/>
            <w:gridSpan w:val="2"/>
            <w:tcMar>
              <w:top w:w="0" w:type="dxa"/>
              <w:left w:w="0" w:type="dxa"/>
              <w:right w:w="0" w:type="dxa"/>
            </w:tcMar>
            <w:vAlign w:val="center"/>
          </w:tcPr>
          <w:p w14:paraId="0A3DF3A1">
            <w:pPr>
              <w:snapToGrid w:val="0"/>
              <w:jc w:val="center"/>
              <w:rPr>
                <w:rFonts w:hint="eastAsia" w:hAnsi="宋体"/>
                <w:color w:val="auto"/>
                <w:sz w:val="21"/>
                <w:szCs w:val="21"/>
              </w:rPr>
            </w:pPr>
            <w:r>
              <w:rPr>
                <w:rFonts w:hint="eastAsia" w:hAnsi="宋体"/>
                <w:color w:val="auto"/>
                <w:sz w:val="21"/>
                <w:szCs w:val="21"/>
              </w:rPr>
              <w:t>一般规格</w:t>
            </w:r>
          </w:p>
        </w:tc>
      </w:tr>
      <w:tr w14:paraId="5A8316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05594B9A">
            <w:pPr>
              <w:snapToGrid w:val="0"/>
              <w:jc w:val="center"/>
              <w:rPr>
                <w:rFonts w:hint="eastAsia" w:hAnsi="宋体"/>
                <w:color w:val="auto"/>
                <w:sz w:val="21"/>
                <w:szCs w:val="21"/>
              </w:rPr>
            </w:pPr>
            <w:r>
              <w:rPr>
                <w:rFonts w:hint="eastAsia" w:hAnsi="宋体"/>
                <w:color w:val="auto"/>
                <w:sz w:val="21"/>
                <w:szCs w:val="21"/>
              </w:rPr>
              <w:t>频率范围</w:t>
            </w:r>
          </w:p>
        </w:tc>
        <w:tc>
          <w:tcPr>
            <w:tcW w:w="3033" w:type="pct"/>
            <w:tcMar>
              <w:top w:w="0" w:type="dxa"/>
              <w:left w:w="0" w:type="dxa"/>
              <w:right w:w="0" w:type="dxa"/>
            </w:tcMar>
            <w:vAlign w:val="center"/>
          </w:tcPr>
          <w:p w14:paraId="4DB6024D">
            <w:pPr>
              <w:snapToGrid w:val="0"/>
              <w:ind w:left="56" w:leftChars="20" w:right="56" w:rightChars="20"/>
              <w:jc w:val="left"/>
              <w:rPr>
                <w:rFonts w:hint="eastAsia" w:hAnsi="宋体"/>
                <w:color w:val="auto"/>
                <w:sz w:val="21"/>
                <w:szCs w:val="21"/>
              </w:rPr>
            </w:pPr>
            <w:r>
              <w:rPr>
                <w:rFonts w:hint="eastAsia" w:hAnsi="宋体"/>
                <w:color w:val="auto"/>
                <w:sz w:val="21"/>
                <w:szCs w:val="21"/>
              </w:rPr>
              <w:t>403-527MHz</w:t>
            </w:r>
          </w:p>
        </w:tc>
      </w:tr>
      <w:tr w14:paraId="0576BB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71F093AE">
            <w:pPr>
              <w:snapToGrid w:val="0"/>
              <w:jc w:val="center"/>
              <w:rPr>
                <w:rFonts w:hint="eastAsia" w:hAnsi="宋体"/>
                <w:color w:val="auto"/>
                <w:sz w:val="21"/>
                <w:szCs w:val="21"/>
              </w:rPr>
            </w:pPr>
            <w:r>
              <w:rPr>
                <w:rFonts w:hint="eastAsia" w:hAnsi="宋体"/>
                <w:color w:val="auto"/>
                <w:sz w:val="21"/>
                <w:szCs w:val="21"/>
              </w:rPr>
              <w:t>信道容量</w:t>
            </w:r>
          </w:p>
        </w:tc>
        <w:tc>
          <w:tcPr>
            <w:tcW w:w="3033" w:type="pct"/>
            <w:tcMar>
              <w:top w:w="0" w:type="dxa"/>
              <w:left w:w="0" w:type="dxa"/>
              <w:right w:w="0" w:type="dxa"/>
            </w:tcMar>
            <w:vAlign w:val="center"/>
          </w:tcPr>
          <w:p w14:paraId="355E808F">
            <w:pPr>
              <w:snapToGrid w:val="0"/>
              <w:ind w:left="56" w:leftChars="20" w:right="56" w:rightChars="20"/>
              <w:jc w:val="left"/>
              <w:rPr>
                <w:rFonts w:hint="eastAsia" w:hAnsi="宋体"/>
                <w:color w:val="auto"/>
                <w:sz w:val="21"/>
                <w:szCs w:val="21"/>
              </w:rPr>
            </w:pPr>
            <w:r>
              <w:rPr>
                <w:rFonts w:hint="eastAsia" w:hAnsi="宋体"/>
                <w:color w:val="auto"/>
                <w:sz w:val="21"/>
                <w:szCs w:val="21"/>
              </w:rPr>
              <w:t>32</w:t>
            </w:r>
          </w:p>
        </w:tc>
      </w:tr>
      <w:tr w14:paraId="4AC831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3709B702">
            <w:pPr>
              <w:snapToGrid w:val="0"/>
              <w:jc w:val="center"/>
              <w:rPr>
                <w:rFonts w:hint="eastAsia" w:hAnsi="宋体"/>
                <w:color w:val="auto"/>
                <w:sz w:val="21"/>
                <w:szCs w:val="21"/>
              </w:rPr>
            </w:pPr>
            <w:r>
              <w:rPr>
                <w:rFonts w:hint="eastAsia" w:hAnsi="宋体"/>
                <w:color w:val="auto"/>
                <w:sz w:val="21"/>
                <w:szCs w:val="21"/>
              </w:rPr>
              <w:t>电源</w:t>
            </w:r>
          </w:p>
        </w:tc>
        <w:tc>
          <w:tcPr>
            <w:tcW w:w="3033" w:type="pct"/>
            <w:tcMar>
              <w:top w:w="0" w:type="dxa"/>
              <w:left w:w="0" w:type="dxa"/>
              <w:right w:w="0" w:type="dxa"/>
            </w:tcMar>
            <w:vAlign w:val="center"/>
          </w:tcPr>
          <w:p w14:paraId="0ABE8A31">
            <w:pPr>
              <w:snapToGrid w:val="0"/>
              <w:ind w:left="56" w:leftChars="20" w:right="56" w:rightChars="20"/>
              <w:jc w:val="left"/>
              <w:rPr>
                <w:rFonts w:hint="eastAsia" w:hAnsi="宋体"/>
                <w:color w:val="auto"/>
                <w:sz w:val="21"/>
                <w:szCs w:val="21"/>
              </w:rPr>
            </w:pPr>
            <w:r>
              <w:rPr>
                <w:rFonts w:hint="eastAsia" w:hAnsi="宋体"/>
                <w:color w:val="auto"/>
                <w:sz w:val="21"/>
                <w:szCs w:val="21"/>
              </w:rPr>
              <w:t>7.5V （额定）</w:t>
            </w:r>
          </w:p>
        </w:tc>
      </w:tr>
      <w:tr w14:paraId="179111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7D2766D5">
            <w:pPr>
              <w:snapToGrid w:val="0"/>
              <w:jc w:val="center"/>
              <w:rPr>
                <w:rFonts w:hint="eastAsia" w:hAnsi="宋体"/>
                <w:color w:val="auto"/>
                <w:sz w:val="21"/>
                <w:szCs w:val="21"/>
              </w:rPr>
            </w:pPr>
            <w:r>
              <w:rPr>
                <w:rFonts w:hint="eastAsia" w:hAnsi="宋体"/>
                <w:color w:val="auto"/>
                <w:sz w:val="21"/>
                <w:szCs w:val="21"/>
              </w:rPr>
              <w:t>工作温度</w:t>
            </w:r>
          </w:p>
        </w:tc>
        <w:tc>
          <w:tcPr>
            <w:tcW w:w="3033" w:type="pct"/>
            <w:tcMar>
              <w:top w:w="0" w:type="dxa"/>
              <w:left w:w="0" w:type="dxa"/>
              <w:right w:w="0" w:type="dxa"/>
            </w:tcMar>
            <w:vAlign w:val="center"/>
          </w:tcPr>
          <w:p w14:paraId="6BA0EC2B">
            <w:pPr>
              <w:snapToGrid w:val="0"/>
              <w:ind w:left="56" w:leftChars="20" w:right="56" w:rightChars="20"/>
              <w:jc w:val="left"/>
              <w:rPr>
                <w:rFonts w:hint="eastAsia" w:hAnsi="宋体"/>
                <w:color w:val="auto"/>
                <w:sz w:val="21"/>
                <w:szCs w:val="21"/>
              </w:rPr>
            </w:pPr>
            <w:r>
              <w:rPr>
                <w:rFonts w:hint="eastAsia" w:hAnsi="宋体"/>
                <w:color w:val="auto"/>
                <w:sz w:val="21"/>
                <w:szCs w:val="21"/>
              </w:rPr>
              <w:t xml:space="preserve">-30 </w:t>
            </w:r>
            <w:r>
              <w:rPr>
                <w:rFonts w:hint="eastAsia" w:ascii="宋体" w:hAnsi="宋体"/>
                <w:color w:val="auto"/>
                <w:sz w:val="21"/>
                <w:szCs w:val="21"/>
              </w:rPr>
              <w:t>～</w:t>
            </w:r>
            <w:r>
              <w:rPr>
                <w:rFonts w:hint="eastAsia" w:hAnsi="宋体"/>
                <w:color w:val="auto"/>
                <w:sz w:val="21"/>
                <w:szCs w:val="21"/>
              </w:rPr>
              <w:t xml:space="preserve"> +60°C</w:t>
            </w:r>
          </w:p>
        </w:tc>
      </w:tr>
      <w:tr w14:paraId="16C44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00" w:type="pct"/>
            <w:gridSpan w:val="2"/>
            <w:tcMar>
              <w:top w:w="0" w:type="dxa"/>
              <w:left w:w="0" w:type="dxa"/>
              <w:right w:w="0" w:type="dxa"/>
            </w:tcMar>
            <w:vAlign w:val="center"/>
          </w:tcPr>
          <w:p w14:paraId="336A7982">
            <w:pPr>
              <w:snapToGrid w:val="0"/>
              <w:jc w:val="center"/>
              <w:rPr>
                <w:rFonts w:hint="eastAsia" w:hAnsi="宋体"/>
                <w:color w:val="auto"/>
                <w:sz w:val="21"/>
                <w:szCs w:val="21"/>
              </w:rPr>
            </w:pPr>
            <w:r>
              <w:rPr>
                <w:rFonts w:hint="eastAsia" w:hAnsi="宋体"/>
                <w:color w:val="auto"/>
                <w:sz w:val="21"/>
                <w:szCs w:val="21"/>
              </w:rPr>
              <w:t>电池</w:t>
            </w:r>
          </w:p>
        </w:tc>
      </w:tr>
      <w:tr w14:paraId="56DBF3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041AD730">
            <w:pPr>
              <w:snapToGrid w:val="0"/>
              <w:jc w:val="center"/>
              <w:rPr>
                <w:rFonts w:hint="eastAsia" w:hAnsi="宋体"/>
                <w:color w:val="auto"/>
                <w:sz w:val="21"/>
                <w:szCs w:val="21"/>
              </w:rPr>
            </w:pPr>
            <w:r>
              <w:rPr>
                <w:rFonts w:hint="eastAsia" w:hAnsi="宋体"/>
                <w:color w:val="auto"/>
                <w:sz w:val="21"/>
                <w:szCs w:val="21"/>
              </w:rPr>
              <w:t>电池平均寿命</w:t>
            </w:r>
          </w:p>
        </w:tc>
        <w:tc>
          <w:tcPr>
            <w:tcW w:w="3033" w:type="pct"/>
            <w:tcMar>
              <w:top w:w="0" w:type="dxa"/>
              <w:left w:w="0" w:type="dxa"/>
              <w:right w:w="0" w:type="dxa"/>
            </w:tcMar>
            <w:vAlign w:val="center"/>
          </w:tcPr>
          <w:p w14:paraId="14BDF7E6">
            <w:pPr>
              <w:snapToGrid w:val="0"/>
              <w:ind w:left="56" w:leftChars="20" w:right="56" w:rightChars="20"/>
              <w:jc w:val="left"/>
              <w:rPr>
                <w:rFonts w:hint="eastAsia" w:hAnsi="宋体"/>
                <w:color w:val="auto"/>
                <w:sz w:val="21"/>
                <w:szCs w:val="21"/>
              </w:rPr>
            </w:pPr>
            <w:r>
              <w:rPr>
                <w:rFonts w:hint="eastAsia" w:hAnsi="宋体"/>
                <w:color w:val="auto"/>
                <w:sz w:val="21"/>
                <w:szCs w:val="21"/>
              </w:rPr>
              <w:t>在载波静噪和大功率发射模式下启用省电功能，电池工作周期为5/5/90的情况下</w:t>
            </w:r>
          </w:p>
        </w:tc>
      </w:tr>
      <w:tr w14:paraId="1E6F5E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4F19FB4D">
            <w:pPr>
              <w:snapToGrid w:val="0"/>
              <w:jc w:val="center"/>
              <w:rPr>
                <w:rFonts w:hint="eastAsia" w:hAnsi="宋体"/>
                <w:color w:val="auto"/>
                <w:sz w:val="21"/>
                <w:szCs w:val="21"/>
              </w:rPr>
            </w:pPr>
            <w:r>
              <w:rPr>
                <w:rFonts w:hint="eastAsia" w:hAnsi="宋体"/>
                <w:color w:val="auto"/>
                <w:sz w:val="21"/>
                <w:szCs w:val="21"/>
              </w:rPr>
              <w:t>锂电池</w:t>
            </w:r>
          </w:p>
        </w:tc>
        <w:tc>
          <w:tcPr>
            <w:tcW w:w="3033" w:type="pct"/>
            <w:tcMar>
              <w:top w:w="0" w:type="dxa"/>
              <w:left w:w="0" w:type="dxa"/>
              <w:right w:w="0" w:type="dxa"/>
            </w:tcMar>
            <w:vAlign w:val="center"/>
          </w:tcPr>
          <w:p w14:paraId="32CA857A">
            <w:pPr>
              <w:snapToGrid w:val="0"/>
              <w:ind w:left="56" w:leftChars="20" w:right="56" w:rightChars="20"/>
              <w:jc w:val="left"/>
              <w:rPr>
                <w:rFonts w:hint="eastAsia" w:hAnsi="宋体"/>
                <w:color w:val="auto"/>
                <w:sz w:val="21"/>
                <w:szCs w:val="21"/>
              </w:rPr>
            </w:pPr>
            <w:r>
              <w:rPr>
                <w:rFonts w:hint="eastAsia" w:hAnsi="宋体"/>
                <w:color w:val="auto"/>
                <w:sz w:val="21"/>
                <w:szCs w:val="21"/>
              </w:rPr>
              <w:t>模拟：11.5小时   数字：17小时</w:t>
            </w:r>
          </w:p>
        </w:tc>
      </w:tr>
      <w:tr w14:paraId="0D34D5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00" w:type="pct"/>
            <w:gridSpan w:val="2"/>
            <w:tcMar>
              <w:top w:w="0" w:type="dxa"/>
              <w:left w:w="0" w:type="dxa"/>
              <w:right w:w="0" w:type="dxa"/>
            </w:tcMar>
            <w:vAlign w:val="center"/>
          </w:tcPr>
          <w:p w14:paraId="317FC1A6">
            <w:pPr>
              <w:snapToGrid w:val="0"/>
              <w:jc w:val="center"/>
              <w:rPr>
                <w:rFonts w:hint="eastAsia" w:hAnsi="宋体"/>
                <w:color w:val="auto"/>
                <w:sz w:val="21"/>
                <w:szCs w:val="21"/>
              </w:rPr>
            </w:pPr>
            <w:r>
              <w:rPr>
                <w:rFonts w:hint="eastAsia" w:hAnsi="宋体"/>
                <w:color w:val="auto"/>
                <w:sz w:val="21"/>
                <w:szCs w:val="21"/>
              </w:rPr>
              <w:t>接收机</w:t>
            </w:r>
          </w:p>
        </w:tc>
      </w:tr>
      <w:tr w14:paraId="2A86C3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7" w:type="pct"/>
            <w:tcMar>
              <w:top w:w="0" w:type="dxa"/>
              <w:left w:w="0" w:type="dxa"/>
              <w:right w:w="0" w:type="dxa"/>
            </w:tcMar>
            <w:vAlign w:val="center"/>
          </w:tcPr>
          <w:p w14:paraId="3EF21AD4">
            <w:pPr>
              <w:snapToGrid w:val="0"/>
              <w:jc w:val="center"/>
              <w:rPr>
                <w:rFonts w:hint="eastAsia" w:hAnsi="宋体"/>
                <w:color w:val="auto"/>
                <w:sz w:val="21"/>
                <w:szCs w:val="21"/>
              </w:rPr>
            </w:pPr>
            <w:r>
              <w:rPr>
                <w:rFonts w:hint="eastAsia" w:hAnsi="宋体"/>
                <w:color w:val="auto"/>
                <w:sz w:val="21"/>
                <w:szCs w:val="21"/>
              </w:rPr>
              <w:t>频率范围</w:t>
            </w:r>
          </w:p>
        </w:tc>
        <w:tc>
          <w:tcPr>
            <w:tcW w:w="3033" w:type="pct"/>
            <w:tcMar>
              <w:top w:w="0" w:type="dxa"/>
              <w:left w:w="0" w:type="dxa"/>
              <w:right w:w="0" w:type="dxa"/>
            </w:tcMar>
            <w:vAlign w:val="center"/>
          </w:tcPr>
          <w:p w14:paraId="68FC1A38">
            <w:pPr>
              <w:snapToGrid w:val="0"/>
              <w:ind w:left="56" w:leftChars="20" w:right="56" w:rightChars="20"/>
              <w:jc w:val="left"/>
              <w:rPr>
                <w:rFonts w:hint="eastAsia" w:hAnsi="宋体"/>
                <w:color w:val="auto"/>
                <w:sz w:val="21"/>
                <w:szCs w:val="21"/>
              </w:rPr>
            </w:pPr>
            <w:r>
              <w:rPr>
                <w:rFonts w:hint="eastAsia" w:hAnsi="宋体"/>
                <w:color w:val="auto"/>
                <w:sz w:val="21"/>
                <w:szCs w:val="21"/>
              </w:rPr>
              <w:t>403 - 527MHz</w:t>
            </w:r>
          </w:p>
        </w:tc>
      </w:tr>
      <w:tr w14:paraId="0E4F57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7" w:type="pct"/>
            <w:tcMar>
              <w:top w:w="0" w:type="dxa"/>
              <w:left w:w="0" w:type="dxa"/>
              <w:right w:w="0" w:type="dxa"/>
            </w:tcMar>
            <w:vAlign w:val="center"/>
          </w:tcPr>
          <w:p w14:paraId="0EF62C29">
            <w:pPr>
              <w:snapToGrid w:val="0"/>
              <w:jc w:val="center"/>
              <w:rPr>
                <w:rFonts w:hint="eastAsia" w:hAnsi="宋体"/>
                <w:color w:val="auto"/>
                <w:sz w:val="21"/>
                <w:szCs w:val="21"/>
              </w:rPr>
            </w:pPr>
            <w:r>
              <w:rPr>
                <w:rFonts w:hint="eastAsia" w:hAnsi="宋体"/>
                <w:color w:val="auto"/>
                <w:sz w:val="21"/>
                <w:szCs w:val="21"/>
              </w:rPr>
              <w:t>信道间隔</w:t>
            </w:r>
          </w:p>
        </w:tc>
        <w:tc>
          <w:tcPr>
            <w:tcW w:w="3033" w:type="pct"/>
            <w:tcMar>
              <w:top w:w="0" w:type="dxa"/>
              <w:left w:w="0" w:type="dxa"/>
              <w:right w:w="0" w:type="dxa"/>
            </w:tcMar>
            <w:vAlign w:val="center"/>
          </w:tcPr>
          <w:p w14:paraId="1508D13A">
            <w:pPr>
              <w:snapToGrid w:val="0"/>
              <w:ind w:left="56" w:leftChars="20" w:right="56" w:rightChars="20"/>
              <w:jc w:val="left"/>
              <w:rPr>
                <w:rFonts w:hint="eastAsia" w:hAnsi="宋体"/>
                <w:color w:val="auto"/>
                <w:sz w:val="21"/>
                <w:szCs w:val="21"/>
              </w:rPr>
            </w:pPr>
            <w:r>
              <w:rPr>
                <w:rFonts w:hint="eastAsia" w:hAnsi="宋体"/>
                <w:color w:val="auto"/>
                <w:sz w:val="21"/>
                <w:szCs w:val="21"/>
              </w:rPr>
              <w:t>12.5/25kHz</w:t>
            </w:r>
          </w:p>
        </w:tc>
      </w:tr>
      <w:tr w14:paraId="69495A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7" w:type="pct"/>
            <w:tcMar>
              <w:top w:w="0" w:type="dxa"/>
              <w:left w:w="0" w:type="dxa"/>
              <w:right w:w="0" w:type="dxa"/>
            </w:tcMar>
            <w:vAlign w:val="center"/>
          </w:tcPr>
          <w:p w14:paraId="14E10F0F">
            <w:pPr>
              <w:snapToGrid w:val="0"/>
              <w:jc w:val="center"/>
              <w:rPr>
                <w:rFonts w:hint="eastAsia" w:hAnsi="宋体"/>
                <w:color w:val="auto"/>
                <w:sz w:val="21"/>
                <w:szCs w:val="21"/>
              </w:rPr>
            </w:pPr>
            <w:r>
              <w:rPr>
                <w:rFonts w:hint="eastAsia" w:hAnsi="宋体"/>
                <w:color w:val="auto"/>
                <w:sz w:val="21"/>
                <w:szCs w:val="21"/>
              </w:rPr>
              <w:t>频率稳定性</w:t>
            </w:r>
          </w:p>
          <w:p w14:paraId="190B70F1">
            <w:pPr>
              <w:snapToGrid w:val="0"/>
              <w:jc w:val="center"/>
              <w:rPr>
                <w:rFonts w:hint="eastAsia" w:hAnsi="宋体"/>
                <w:color w:val="auto"/>
                <w:sz w:val="21"/>
                <w:szCs w:val="21"/>
              </w:rPr>
            </w:pPr>
            <w:r>
              <w:rPr>
                <w:rFonts w:hint="eastAsia" w:hAnsi="宋体"/>
                <w:color w:val="auto"/>
                <w:sz w:val="21"/>
                <w:szCs w:val="21"/>
              </w:rPr>
              <w:t>（-30°C, +60°C, +25°C Ref）</w:t>
            </w:r>
          </w:p>
        </w:tc>
        <w:tc>
          <w:tcPr>
            <w:tcW w:w="3033" w:type="pct"/>
            <w:tcMar>
              <w:top w:w="0" w:type="dxa"/>
              <w:left w:w="0" w:type="dxa"/>
              <w:right w:w="0" w:type="dxa"/>
            </w:tcMar>
            <w:vAlign w:val="center"/>
          </w:tcPr>
          <w:p w14:paraId="66F893C2">
            <w:pPr>
              <w:snapToGrid w:val="0"/>
              <w:ind w:left="56" w:leftChars="20" w:right="56" w:rightChars="20"/>
              <w:jc w:val="left"/>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0.5 ppm</w:t>
            </w:r>
          </w:p>
        </w:tc>
      </w:tr>
      <w:tr w14:paraId="7291C8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7" w:type="pct"/>
            <w:tcMar>
              <w:top w:w="0" w:type="dxa"/>
              <w:left w:w="0" w:type="dxa"/>
              <w:right w:w="0" w:type="dxa"/>
            </w:tcMar>
            <w:vAlign w:val="center"/>
          </w:tcPr>
          <w:p w14:paraId="3E306F09">
            <w:pPr>
              <w:snapToGrid w:val="0"/>
              <w:jc w:val="center"/>
              <w:rPr>
                <w:rFonts w:hint="eastAsia" w:hAnsi="宋体"/>
                <w:color w:val="auto"/>
                <w:sz w:val="21"/>
                <w:szCs w:val="21"/>
              </w:rPr>
            </w:pPr>
            <w:r>
              <w:rPr>
                <w:rFonts w:hint="eastAsia" w:hAnsi="宋体"/>
                <w:color w:val="auto"/>
                <w:sz w:val="21"/>
                <w:szCs w:val="21"/>
              </w:rPr>
              <w:t>模拟灵敏度（12dB SINAD）</w:t>
            </w:r>
          </w:p>
        </w:tc>
        <w:tc>
          <w:tcPr>
            <w:tcW w:w="3033" w:type="pct"/>
            <w:tcMar>
              <w:top w:w="0" w:type="dxa"/>
              <w:left w:w="0" w:type="dxa"/>
              <w:right w:w="0" w:type="dxa"/>
            </w:tcMar>
            <w:vAlign w:val="center"/>
          </w:tcPr>
          <w:p w14:paraId="63208B6D">
            <w:pPr>
              <w:snapToGrid w:val="0"/>
              <w:ind w:left="56" w:leftChars="20" w:right="56" w:rightChars="20"/>
              <w:jc w:val="left"/>
              <w:rPr>
                <w:rFonts w:hint="eastAsia" w:hAnsi="宋体"/>
                <w:color w:val="auto"/>
                <w:sz w:val="21"/>
                <w:szCs w:val="21"/>
              </w:rPr>
            </w:pPr>
            <w:r>
              <w:rPr>
                <w:rFonts w:hint="eastAsia" w:hAnsi="宋体"/>
                <w:color w:val="auto"/>
                <w:sz w:val="21"/>
                <w:szCs w:val="21"/>
              </w:rPr>
              <w:t>0.3uV（0.22uV典型）</w:t>
            </w:r>
          </w:p>
        </w:tc>
      </w:tr>
      <w:tr w14:paraId="6BF2CA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7" w:type="pct"/>
            <w:tcMar>
              <w:top w:w="0" w:type="dxa"/>
              <w:left w:w="0" w:type="dxa"/>
              <w:right w:w="0" w:type="dxa"/>
            </w:tcMar>
            <w:vAlign w:val="center"/>
          </w:tcPr>
          <w:p w14:paraId="5DCBE318">
            <w:pPr>
              <w:snapToGrid w:val="0"/>
              <w:jc w:val="center"/>
              <w:rPr>
                <w:rFonts w:hint="eastAsia" w:hAnsi="宋体"/>
                <w:color w:val="auto"/>
                <w:sz w:val="21"/>
                <w:szCs w:val="21"/>
              </w:rPr>
            </w:pPr>
            <w:r>
              <w:rPr>
                <w:rFonts w:hint="eastAsia" w:hAnsi="宋体"/>
                <w:color w:val="auto"/>
                <w:sz w:val="21"/>
                <w:szCs w:val="21"/>
              </w:rPr>
              <w:t>数字灵敏度</w:t>
            </w:r>
          </w:p>
        </w:tc>
        <w:tc>
          <w:tcPr>
            <w:tcW w:w="3033" w:type="pct"/>
            <w:tcMar>
              <w:top w:w="0" w:type="dxa"/>
              <w:left w:w="0" w:type="dxa"/>
              <w:right w:w="0" w:type="dxa"/>
            </w:tcMar>
            <w:vAlign w:val="center"/>
          </w:tcPr>
          <w:p w14:paraId="71D3F88A">
            <w:pPr>
              <w:snapToGrid w:val="0"/>
              <w:ind w:left="56" w:leftChars="20" w:right="56" w:rightChars="20"/>
              <w:jc w:val="left"/>
              <w:rPr>
                <w:rFonts w:hint="eastAsia" w:hAnsi="宋体"/>
                <w:color w:val="auto"/>
                <w:sz w:val="21"/>
                <w:szCs w:val="21"/>
              </w:rPr>
            </w:pPr>
            <w:r>
              <w:rPr>
                <w:rFonts w:hint="eastAsia" w:hAnsi="宋体"/>
                <w:color w:val="auto"/>
                <w:sz w:val="21"/>
                <w:szCs w:val="21"/>
              </w:rPr>
              <w:t>0.25uV（0.19uV典型）</w:t>
            </w:r>
          </w:p>
        </w:tc>
      </w:tr>
      <w:tr w14:paraId="3CE67A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7" w:type="pct"/>
            <w:tcMar>
              <w:top w:w="0" w:type="dxa"/>
              <w:left w:w="0" w:type="dxa"/>
              <w:right w:w="0" w:type="dxa"/>
            </w:tcMar>
            <w:vAlign w:val="center"/>
          </w:tcPr>
          <w:p w14:paraId="5C593B6F">
            <w:pPr>
              <w:snapToGrid w:val="0"/>
              <w:jc w:val="center"/>
              <w:rPr>
                <w:rFonts w:hint="eastAsia" w:hAnsi="宋体"/>
                <w:color w:val="auto"/>
                <w:sz w:val="21"/>
                <w:szCs w:val="21"/>
              </w:rPr>
            </w:pPr>
            <w:r>
              <w:rPr>
                <w:rFonts w:hint="eastAsia" w:hAnsi="宋体"/>
                <w:color w:val="auto"/>
                <w:sz w:val="21"/>
                <w:szCs w:val="21"/>
              </w:rPr>
              <w:t>互调（TIA603D）</w:t>
            </w:r>
          </w:p>
        </w:tc>
        <w:tc>
          <w:tcPr>
            <w:tcW w:w="3033" w:type="pct"/>
            <w:tcMar>
              <w:top w:w="0" w:type="dxa"/>
              <w:left w:w="0" w:type="dxa"/>
              <w:right w:w="0" w:type="dxa"/>
            </w:tcMar>
            <w:vAlign w:val="center"/>
          </w:tcPr>
          <w:p w14:paraId="6649EBC3">
            <w:pPr>
              <w:snapToGrid w:val="0"/>
              <w:ind w:left="56" w:leftChars="20" w:right="56" w:rightChars="20"/>
              <w:jc w:val="left"/>
              <w:rPr>
                <w:rFonts w:hint="eastAsia" w:hAnsi="宋体"/>
                <w:color w:val="auto"/>
                <w:sz w:val="21"/>
                <w:szCs w:val="21"/>
              </w:rPr>
            </w:pPr>
            <w:r>
              <w:rPr>
                <w:rFonts w:hint="eastAsia" w:hAnsi="宋体"/>
                <w:color w:val="auto"/>
                <w:sz w:val="21"/>
                <w:szCs w:val="21"/>
              </w:rPr>
              <w:t>70dB</w:t>
            </w:r>
          </w:p>
        </w:tc>
      </w:tr>
      <w:tr w14:paraId="7F91EC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7" w:type="pct"/>
            <w:tcMar>
              <w:top w:w="0" w:type="dxa"/>
              <w:left w:w="0" w:type="dxa"/>
              <w:right w:w="0" w:type="dxa"/>
            </w:tcMar>
            <w:vAlign w:val="center"/>
          </w:tcPr>
          <w:p w14:paraId="710581F9">
            <w:pPr>
              <w:snapToGrid w:val="0"/>
              <w:jc w:val="center"/>
              <w:rPr>
                <w:rFonts w:hint="eastAsia" w:hAnsi="宋体"/>
                <w:color w:val="auto"/>
                <w:sz w:val="21"/>
                <w:szCs w:val="21"/>
              </w:rPr>
            </w:pPr>
            <w:r>
              <w:rPr>
                <w:rFonts w:hint="eastAsia" w:hAnsi="宋体"/>
                <w:color w:val="auto"/>
                <w:sz w:val="21"/>
                <w:szCs w:val="21"/>
              </w:rPr>
              <w:t>临近信道选择性（TIA603A）-1T</w:t>
            </w:r>
          </w:p>
        </w:tc>
        <w:tc>
          <w:tcPr>
            <w:tcW w:w="3033" w:type="pct"/>
            <w:tcMar>
              <w:top w:w="0" w:type="dxa"/>
              <w:left w:w="0" w:type="dxa"/>
              <w:right w:w="0" w:type="dxa"/>
            </w:tcMar>
            <w:vAlign w:val="center"/>
          </w:tcPr>
          <w:p w14:paraId="7B58250A">
            <w:pPr>
              <w:snapToGrid w:val="0"/>
              <w:ind w:left="56" w:leftChars="20" w:right="56" w:rightChars="20"/>
              <w:jc w:val="left"/>
              <w:rPr>
                <w:rFonts w:hint="eastAsia" w:hAnsi="宋体"/>
                <w:color w:val="auto"/>
                <w:sz w:val="21"/>
                <w:szCs w:val="21"/>
              </w:rPr>
            </w:pPr>
            <w:r>
              <w:rPr>
                <w:rFonts w:hint="eastAsia" w:hAnsi="宋体"/>
                <w:color w:val="auto"/>
                <w:sz w:val="21"/>
                <w:szCs w:val="21"/>
              </w:rPr>
              <w:t>60 dB @ 12.5kHz/70dB @ 25kHz³</w:t>
            </w:r>
          </w:p>
        </w:tc>
      </w:tr>
      <w:tr w14:paraId="23591F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7" w:type="pct"/>
            <w:tcMar>
              <w:top w:w="0" w:type="dxa"/>
              <w:left w:w="0" w:type="dxa"/>
              <w:right w:w="0" w:type="dxa"/>
            </w:tcMar>
            <w:vAlign w:val="center"/>
          </w:tcPr>
          <w:p w14:paraId="1C3B9A37">
            <w:pPr>
              <w:snapToGrid w:val="0"/>
              <w:jc w:val="center"/>
              <w:rPr>
                <w:rFonts w:hint="eastAsia" w:hAnsi="宋体"/>
                <w:color w:val="auto"/>
                <w:sz w:val="21"/>
                <w:szCs w:val="21"/>
              </w:rPr>
            </w:pPr>
            <w:r>
              <w:rPr>
                <w:rFonts w:hint="eastAsia" w:hAnsi="宋体"/>
                <w:color w:val="auto"/>
                <w:sz w:val="21"/>
                <w:szCs w:val="21"/>
              </w:rPr>
              <w:t>临近信道选择性（TIA603D）-2T</w:t>
            </w:r>
          </w:p>
        </w:tc>
        <w:tc>
          <w:tcPr>
            <w:tcW w:w="3033" w:type="pct"/>
            <w:tcMar>
              <w:top w:w="0" w:type="dxa"/>
              <w:left w:w="0" w:type="dxa"/>
              <w:right w:w="0" w:type="dxa"/>
            </w:tcMar>
            <w:vAlign w:val="center"/>
          </w:tcPr>
          <w:p w14:paraId="35980088">
            <w:pPr>
              <w:snapToGrid w:val="0"/>
              <w:ind w:left="56" w:leftChars="20" w:right="56" w:rightChars="20"/>
              <w:jc w:val="left"/>
              <w:rPr>
                <w:rFonts w:hint="eastAsia" w:hAnsi="宋体"/>
                <w:color w:val="auto"/>
                <w:sz w:val="21"/>
                <w:szCs w:val="21"/>
              </w:rPr>
            </w:pPr>
            <w:r>
              <w:rPr>
                <w:rFonts w:hint="eastAsia" w:hAnsi="宋体"/>
                <w:color w:val="auto"/>
                <w:sz w:val="21"/>
                <w:szCs w:val="21"/>
              </w:rPr>
              <w:t>45 dB @ 12.5kHz/70dB @ 25kHz³</w:t>
            </w:r>
          </w:p>
        </w:tc>
      </w:tr>
      <w:tr w14:paraId="2ABF7F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7" w:type="pct"/>
            <w:tcMar>
              <w:top w:w="0" w:type="dxa"/>
              <w:left w:w="0" w:type="dxa"/>
              <w:right w:w="0" w:type="dxa"/>
            </w:tcMar>
            <w:vAlign w:val="center"/>
          </w:tcPr>
          <w:p w14:paraId="2D070251">
            <w:pPr>
              <w:snapToGrid w:val="0"/>
              <w:jc w:val="center"/>
              <w:rPr>
                <w:rFonts w:hint="eastAsia" w:hAnsi="宋体"/>
                <w:color w:val="auto"/>
                <w:sz w:val="21"/>
                <w:szCs w:val="21"/>
              </w:rPr>
            </w:pPr>
            <w:r>
              <w:rPr>
                <w:rFonts w:hint="eastAsia" w:hAnsi="宋体"/>
                <w:color w:val="auto"/>
                <w:sz w:val="21"/>
                <w:szCs w:val="21"/>
              </w:rPr>
              <w:t>杂散抑制（TIA603D）</w:t>
            </w:r>
          </w:p>
        </w:tc>
        <w:tc>
          <w:tcPr>
            <w:tcW w:w="3033" w:type="pct"/>
            <w:tcMar>
              <w:top w:w="0" w:type="dxa"/>
              <w:left w:w="0" w:type="dxa"/>
              <w:right w:w="0" w:type="dxa"/>
            </w:tcMar>
            <w:vAlign w:val="center"/>
          </w:tcPr>
          <w:p w14:paraId="00F0A390">
            <w:pPr>
              <w:snapToGrid w:val="0"/>
              <w:ind w:left="56" w:leftChars="20" w:right="56" w:rightChars="20"/>
              <w:jc w:val="left"/>
              <w:rPr>
                <w:rFonts w:hint="eastAsia" w:hAnsi="宋体"/>
                <w:color w:val="auto"/>
                <w:sz w:val="21"/>
                <w:szCs w:val="21"/>
              </w:rPr>
            </w:pPr>
            <w:r>
              <w:rPr>
                <w:rFonts w:hint="eastAsia" w:hAnsi="宋体"/>
                <w:color w:val="auto"/>
                <w:sz w:val="21"/>
                <w:szCs w:val="21"/>
              </w:rPr>
              <w:t>70 dB</w:t>
            </w:r>
          </w:p>
        </w:tc>
      </w:tr>
      <w:tr w14:paraId="5B9243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7" w:type="pct"/>
            <w:tcMar>
              <w:top w:w="0" w:type="dxa"/>
              <w:left w:w="0" w:type="dxa"/>
              <w:right w:w="0" w:type="dxa"/>
            </w:tcMar>
            <w:vAlign w:val="center"/>
          </w:tcPr>
          <w:p w14:paraId="0F86DC06">
            <w:pPr>
              <w:snapToGrid w:val="0"/>
              <w:jc w:val="center"/>
              <w:rPr>
                <w:rFonts w:hint="eastAsia" w:hAnsi="宋体"/>
                <w:color w:val="auto"/>
                <w:sz w:val="21"/>
                <w:szCs w:val="21"/>
              </w:rPr>
            </w:pPr>
            <w:r>
              <w:rPr>
                <w:rFonts w:hint="eastAsia" w:hAnsi="宋体"/>
                <w:color w:val="auto"/>
                <w:sz w:val="21"/>
                <w:szCs w:val="21"/>
              </w:rPr>
              <w:t>额定音频</w:t>
            </w:r>
          </w:p>
        </w:tc>
        <w:tc>
          <w:tcPr>
            <w:tcW w:w="3033" w:type="pct"/>
            <w:tcMar>
              <w:top w:w="0" w:type="dxa"/>
              <w:left w:w="0" w:type="dxa"/>
              <w:right w:w="0" w:type="dxa"/>
            </w:tcMar>
            <w:vAlign w:val="center"/>
          </w:tcPr>
          <w:p w14:paraId="43B3961A">
            <w:pPr>
              <w:snapToGrid w:val="0"/>
              <w:ind w:left="56" w:leftChars="20" w:right="56" w:rightChars="20"/>
              <w:jc w:val="left"/>
              <w:rPr>
                <w:rFonts w:hint="eastAsia" w:hAnsi="宋体"/>
                <w:color w:val="auto"/>
                <w:sz w:val="21"/>
                <w:szCs w:val="21"/>
              </w:rPr>
            </w:pPr>
            <w:r>
              <w:rPr>
                <w:rFonts w:hint="eastAsia" w:hAnsi="宋体"/>
                <w:color w:val="auto"/>
                <w:sz w:val="21"/>
                <w:szCs w:val="21"/>
              </w:rPr>
              <w:t>0.5W</w:t>
            </w:r>
          </w:p>
        </w:tc>
      </w:tr>
      <w:tr w14:paraId="617079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7" w:type="pct"/>
            <w:tcMar>
              <w:top w:w="0" w:type="dxa"/>
              <w:left w:w="0" w:type="dxa"/>
              <w:right w:w="0" w:type="dxa"/>
            </w:tcMar>
            <w:vAlign w:val="center"/>
          </w:tcPr>
          <w:p w14:paraId="152D50BF">
            <w:pPr>
              <w:snapToGrid w:val="0"/>
              <w:jc w:val="center"/>
              <w:rPr>
                <w:rFonts w:hint="eastAsia" w:hAnsi="宋体"/>
                <w:color w:val="auto"/>
                <w:sz w:val="21"/>
                <w:szCs w:val="21"/>
              </w:rPr>
            </w:pPr>
            <w:r>
              <w:rPr>
                <w:rFonts w:hint="eastAsia" w:hAnsi="宋体"/>
                <w:color w:val="auto"/>
                <w:sz w:val="21"/>
                <w:szCs w:val="21"/>
              </w:rPr>
              <w:t>额定音频下的音频失真</w:t>
            </w:r>
          </w:p>
        </w:tc>
        <w:tc>
          <w:tcPr>
            <w:tcW w:w="3033" w:type="pct"/>
            <w:tcMar>
              <w:top w:w="0" w:type="dxa"/>
              <w:left w:w="0" w:type="dxa"/>
              <w:right w:w="0" w:type="dxa"/>
            </w:tcMar>
            <w:vAlign w:val="center"/>
          </w:tcPr>
          <w:p w14:paraId="067F6C75">
            <w:pPr>
              <w:snapToGrid w:val="0"/>
              <w:ind w:left="56" w:leftChars="20" w:right="56" w:rightChars="20"/>
              <w:jc w:val="left"/>
              <w:rPr>
                <w:rFonts w:hint="eastAsia" w:hAnsi="宋体"/>
                <w:color w:val="auto"/>
                <w:sz w:val="21"/>
                <w:szCs w:val="21"/>
              </w:rPr>
            </w:pPr>
            <w:r>
              <w:rPr>
                <w:rFonts w:hint="eastAsia" w:hAnsi="宋体"/>
                <w:color w:val="auto"/>
                <w:sz w:val="21"/>
                <w:szCs w:val="21"/>
              </w:rPr>
              <w:t>5%（3%典型）</w:t>
            </w:r>
          </w:p>
        </w:tc>
      </w:tr>
      <w:tr w14:paraId="01A69F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7" w:type="pct"/>
            <w:tcMar>
              <w:top w:w="0" w:type="dxa"/>
              <w:left w:w="0" w:type="dxa"/>
              <w:right w:w="0" w:type="dxa"/>
            </w:tcMar>
            <w:vAlign w:val="center"/>
          </w:tcPr>
          <w:p w14:paraId="32EE4766">
            <w:pPr>
              <w:snapToGrid w:val="0"/>
              <w:jc w:val="center"/>
              <w:rPr>
                <w:rFonts w:hint="eastAsia" w:hAnsi="宋体"/>
                <w:color w:val="auto"/>
                <w:sz w:val="21"/>
                <w:szCs w:val="21"/>
              </w:rPr>
            </w:pPr>
            <w:r>
              <w:rPr>
                <w:rFonts w:hint="eastAsia" w:hAnsi="宋体"/>
                <w:color w:val="auto"/>
                <w:sz w:val="21"/>
                <w:szCs w:val="21"/>
              </w:rPr>
              <w:t>交流声与噪声</w:t>
            </w:r>
          </w:p>
        </w:tc>
        <w:tc>
          <w:tcPr>
            <w:tcW w:w="3033" w:type="pct"/>
            <w:tcMar>
              <w:top w:w="0" w:type="dxa"/>
              <w:left w:w="0" w:type="dxa"/>
              <w:right w:w="0" w:type="dxa"/>
            </w:tcMar>
            <w:vAlign w:val="center"/>
          </w:tcPr>
          <w:p w14:paraId="7A35EBDE">
            <w:pPr>
              <w:snapToGrid w:val="0"/>
              <w:ind w:left="56" w:leftChars="20" w:right="56" w:rightChars="20"/>
              <w:jc w:val="left"/>
              <w:rPr>
                <w:rFonts w:hint="eastAsia" w:hAnsi="宋体"/>
                <w:color w:val="auto"/>
                <w:sz w:val="21"/>
                <w:szCs w:val="21"/>
              </w:rPr>
            </w:pPr>
            <w:r>
              <w:rPr>
                <w:rFonts w:hint="eastAsia" w:hAnsi="宋体"/>
                <w:color w:val="auto"/>
                <w:sz w:val="21"/>
                <w:szCs w:val="21"/>
              </w:rPr>
              <w:t>-40dB @ 12.5kHz/-45dB @ 25kHz³</w:t>
            </w:r>
          </w:p>
        </w:tc>
      </w:tr>
      <w:tr w14:paraId="7B8268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7" w:type="pct"/>
            <w:tcMar>
              <w:top w:w="0" w:type="dxa"/>
              <w:left w:w="0" w:type="dxa"/>
              <w:right w:w="0" w:type="dxa"/>
            </w:tcMar>
            <w:vAlign w:val="center"/>
          </w:tcPr>
          <w:p w14:paraId="703C3BB3">
            <w:pPr>
              <w:snapToGrid w:val="0"/>
              <w:jc w:val="center"/>
              <w:rPr>
                <w:rFonts w:hint="eastAsia" w:hAnsi="宋体"/>
                <w:color w:val="auto"/>
                <w:sz w:val="21"/>
                <w:szCs w:val="21"/>
              </w:rPr>
            </w:pPr>
            <w:r>
              <w:rPr>
                <w:rFonts w:hint="eastAsia" w:hAnsi="宋体"/>
                <w:color w:val="auto"/>
                <w:sz w:val="21"/>
                <w:szCs w:val="21"/>
              </w:rPr>
              <w:t>音频响应</w:t>
            </w:r>
          </w:p>
        </w:tc>
        <w:tc>
          <w:tcPr>
            <w:tcW w:w="3033" w:type="pct"/>
            <w:tcMar>
              <w:top w:w="0" w:type="dxa"/>
              <w:left w:w="0" w:type="dxa"/>
              <w:right w:w="0" w:type="dxa"/>
            </w:tcMar>
            <w:vAlign w:val="center"/>
          </w:tcPr>
          <w:p w14:paraId="51CB3378">
            <w:pPr>
              <w:snapToGrid w:val="0"/>
              <w:ind w:left="56" w:leftChars="20" w:right="56" w:rightChars="20"/>
              <w:jc w:val="left"/>
              <w:rPr>
                <w:rFonts w:hint="eastAsia" w:hAnsi="宋体"/>
                <w:color w:val="auto"/>
                <w:sz w:val="21"/>
                <w:szCs w:val="21"/>
              </w:rPr>
            </w:pPr>
            <w:r>
              <w:rPr>
                <w:rFonts w:hint="eastAsia" w:hAnsi="宋体"/>
                <w:color w:val="auto"/>
                <w:sz w:val="21"/>
                <w:szCs w:val="21"/>
              </w:rPr>
              <w:t>TIA603D</w:t>
            </w:r>
          </w:p>
        </w:tc>
      </w:tr>
      <w:tr w14:paraId="7DF361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7" w:type="pct"/>
            <w:tcMar>
              <w:top w:w="0" w:type="dxa"/>
              <w:left w:w="0" w:type="dxa"/>
              <w:right w:w="0" w:type="dxa"/>
            </w:tcMar>
            <w:vAlign w:val="center"/>
          </w:tcPr>
          <w:p w14:paraId="54E14BD2">
            <w:pPr>
              <w:snapToGrid w:val="0"/>
              <w:jc w:val="center"/>
              <w:rPr>
                <w:rFonts w:hint="eastAsia" w:hAnsi="宋体"/>
                <w:color w:val="auto"/>
                <w:sz w:val="21"/>
                <w:szCs w:val="21"/>
              </w:rPr>
            </w:pPr>
            <w:r>
              <w:rPr>
                <w:rFonts w:hint="eastAsia" w:hAnsi="宋体"/>
                <w:color w:val="auto"/>
                <w:sz w:val="21"/>
                <w:szCs w:val="21"/>
              </w:rPr>
              <w:t>传导杂散发射（TIA603D）</w:t>
            </w:r>
          </w:p>
        </w:tc>
        <w:tc>
          <w:tcPr>
            <w:tcW w:w="3033" w:type="pct"/>
            <w:tcMar>
              <w:top w:w="0" w:type="dxa"/>
              <w:left w:w="0" w:type="dxa"/>
              <w:right w:w="0" w:type="dxa"/>
            </w:tcMar>
            <w:vAlign w:val="center"/>
          </w:tcPr>
          <w:p w14:paraId="62269A1E">
            <w:pPr>
              <w:snapToGrid w:val="0"/>
              <w:ind w:left="56" w:leftChars="20" w:right="56" w:rightChars="20"/>
              <w:jc w:val="left"/>
              <w:rPr>
                <w:rFonts w:hint="eastAsia" w:hAnsi="宋体"/>
                <w:color w:val="auto"/>
                <w:sz w:val="21"/>
                <w:szCs w:val="21"/>
              </w:rPr>
            </w:pPr>
            <w:r>
              <w:rPr>
                <w:rFonts w:hint="eastAsia" w:hAnsi="宋体"/>
                <w:color w:val="auto"/>
                <w:sz w:val="21"/>
                <w:szCs w:val="21"/>
              </w:rPr>
              <w:t>-57dBm</w:t>
            </w:r>
          </w:p>
        </w:tc>
      </w:tr>
      <w:tr w14:paraId="184871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00" w:type="pct"/>
            <w:gridSpan w:val="2"/>
            <w:tcMar>
              <w:top w:w="0" w:type="dxa"/>
              <w:left w:w="0" w:type="dxa"/>
              <w:right w:w="0" w:type="dxa"/>
            </w:tcMar>
            <w:vAlign w:val="center"/>
          </w:tcPr>
          <w:p w14:paraId="7CE27FA9">
            <w:pPr>
              <w:snapToGrid w:val="0"/>
              <w:jc w:val="center"/>
              <w:rPr>
                <w:rFonts w:hint="eastAsia" w:hAnsi="宋体"/>
                <w:color w:val="auto"/>
                <w:sz w:val="21"/>
                <w:szCs w:val="21"/>
              </w:rPr>
            </w:pPr>
            <w:r>
              <w:rPr>
                <w:rFonts w:hint="eastAsia" w:hAnsi="宋体"/>
                <w:color w:val="auto"/>
                <w:sz w:val="21"/>
                <w:szCs w:val="21"/>
              </w:rPr>
              <w:t>发射机</w:t>
            </w:r>
          </w:p>
        </w:tc>
      </w:tr>
      <w:tr w14:paraId="6CF3D1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2E3CE5DE">
            <w:pPr>
              <w:snapToGrid w:val="0"/>
              <w:jc w:val="center"/>
              <w:rPr>
                <w:rFonts w:hint="eastAsia" w:hAnsi="宋体"/>
                <w:color w:val="auto"/>
                <w:sz w:val="21"/>
                <w:szCs w:val="21"/>
              </w:rPr>
            </w:pPr>
            <w:r>
              <w:rPr>
                <w:rFonts w:hint="eastAsia" w:hAnsi="宋体"/>
                <w:color w:val="auto"/>
                <w:sz w:val="21"/>
                <w:szCs w:val="21"/>
              </w:rPr>
              <w:t>频率范围</w:t>
            </w:r>
          </w:p>
        </w:tc>
        <w:tc>
          <w:tcPr>
            <w:tcW w:w="3033" w:type="pct"/>
            <w:tcMar>
              <w:top w:w="0" w:type="dxa"/>
              <w:left w:w="0" w:type="dxa"/>
              <w:right w:w="0" w:type="dxa"/>
            </w:tcMar>
            <w:vAlign w:val="center"/>
          </w:tcPr>
          <w:p w14:paraId="714B3316">
            <w:pPr>
              <w:snapToGrid w:val="0"/>
              <w:ind w:left="56" w:leftChars="20" w:right="56" w:rightChars="20"/>
              <w:jc w:val="left"/>
              <w:rPr>
                <w:rFonts w:hint="eastAsia" w:hAnsi="宋体"/>
                <w:color w:val="auto"/>
                <w:sz w:val="21"/>
                <w:szCs w:val="21"/>
              </w:rPr>
            </w:pPr>
            <w:r>
              <w:rPr>
                <w:rFonts w:hint="eastAsia" w:hAnsi="宋体"/>
                <w:color w:val="auto"/>
                <w:sz w:val="21"/>
                <w:szCs w:val="21"/>
              </w:rPr>
              <w:t>403-527MHz</w:t>
            </w:r>
          </w:p>
        </w:tc>
      </w:tr>
      <w:tr w14:paraId="7015EF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60A97A88">
            <w:pPr>
              <w:snapToGrid w:val="0"/>
              <w:jc w:val="center"/>
              <w:rPr>
                <w:rFonts w:hint="eastAsia" w:hAnsi="宋体"/>
                <w:color w:val="auto"/>
                <w:sz w:val="21"/>
                <w:szCs w:val="21"/>
              </w:rPr>
            </w:pPr>
            <w:r>
              <w:rPr>
                <w:rFonts w:hint="eastAsia" w:hAnsi="宋体"/>
                <w:color w:val="auto"/>
                <w:sz w:val="21"/>
                <w:szCs w:val="21"/>
              </w:rPr>
              <w:t>信道间隔</w:t>
            </w:r>
          </w:p>
        </w:tc>
        <w:tc>
          <w:tcPr>
            <w:tcW w:w="3033" w:type="pct"/>
            <w:tcMar>
              <w:top w:w="0" w:type="dxa"/>
              <w:left w:w="0" w:type="dxa"/>
              <w:right w:w="0" w:type="dxa"/>
            </w:tcMar>
            <w:vAlign w:val="center"/>
          </w:tcPr>
          <w:p w14:paraId="60CE9423">
            <w:pPr>
              <w:snapToGrid w:val="0"/>
              <w:ind w:left="56" w:leftChars="20" w:right="56" w:rightChars="20"/>
              <w:jc w:val="left"/>
              <w:rPr>
                <w:rFonts w:hint="eastAsia" w:hAnsi="宋体"/>
                <w:color w:val="auto"/>
                <w:sz w:val="21"/>
                <w:szCs w:val="21"/>
              </w:rPr>
            </w:pPr>
            <w:r>
              <w:rPr>
                <w:rFonts w:hint="eastAsia" w:hAnsi="宋体"/>
                <w:color w:val="auto"/>
                <w:sz w:val="21"/>
                <w:szCs w:val="21"/>
              </w:rPr>
              <w:t>12.5/25kHz</w:t>
            </w:r>
          </w:p>
        </w:tc>
      </w:tr>
      <w:tr w14:paraId="54FA3D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14980448">
            <w:pPr>
              <w:snapToGrid w:val="0"/>
              <w:jc w:val="center"/>
              <w:rPr>
                <w:rFonts w:hint="eastAsia" w:hAnsi="宋体"/>
                <w:color w:val="auto"/>
                <w:sz w:val="21"/>
                <w:szCs w:val="21"/>
              </w:rPr>
            </w:pPr>
            <w:r>
              <w:rPr>
                <w:rFonts w:hint="eastAsia" w:hAnsi="宋体"/>
                <w:color w:val="auto"/>
                <w:sz w:val="21"/>
                <w:szCs w:val="21"/>
              </w:rPr>
              <w:t>频率稳定性</w:t>
            </w:r>
          </w:p>
        </w:tc>
        <w:tc>
          <w:tcPr>
            <w:tcW w:w="3033" w:type="pct"/>
            <w:tcMar>
              <w:top w:w="0" w:type="dxa"/>
              <w:left w:w="0" w:type="dxa"/>
              <w:right w:w="0" w:type="dxa"/>
            </w:tcMar>
            <w:vAlign w:val="center"/>
          </w:tcPr>
          <w:p w14:paraId="26E90890">
            <w:pPr>
              <w:snapToGrid w:val="0"/>
              <w:ind w:left="56" w:leftChars="20" w:right="56" w:rightChars="20"/>
              <w:jc w:val="left"/>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0.5 ppm</w:t>
            </w:r>
          </w:p>
        </w:tc>
      </w:tr>
      <w:tr w14:paraId="3F3B30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1F27719D">
            <w:pPr>
              <w:snapToGrid w:val="0"/>
              <w:jc w:val="center"/>
              <w:rPr>
                <w:rFonts w:hint="eastAsia" w:hAnsi="宋体"/>
                <w:color w:val="auto"/>
                <w:sz w:val="21"/>
                <w:szCs w:val="21"/>
              </w:rPr>
            </w:pPr>
            <w:r>
              <w:rPr>
                <w:rFonts w:hint="eastAsia" w:hAnsi="宋体"/>
                <w:color w:val="auto"/>
                <w:sz w:val="21"/>
                <w:szCs w:val="21"/>
              </w:rPr>
              <w:t>低功率输出</w:t>
            </w:r>
          </w:p>
        </w:tc>
        <w:tc>
          <w:tcPr>
            <w:tcW w:w="3033" w:type="pct"/>
            <w:tcMar>
              <w:top w:w="0" w:type="dxa"/>
              <w:left w:w="0" w:type="dxa"/>
              <w:right w:w="0" w:type="dxa"/>
            </w:tcMar>
            <w:vAlign w:val="center"/>
          </w:tcPr>
          <w:p w14:paraId="473E61D0">
            <w:pPr>
              <w:snapToGrid w:val="0"/>
              <w:ind w:left="56" w:leftChars="20" w:right="56" w:rightChars="20"/>
              <w:jc w:val="left"/>
              <w:rPr>
                <w:rFonts w:hint="eastAsia" w:hAnsi="宋体"/>
                <w:color w:val="auto"/>
                <w:sz w:val="21"/>
                <w:szCs w:val="21"/>
              </w:rPr>
            </w:pPr>
            <w:r>
              <w:rPr>
                <w:rFonts w:hint="eastAsia" w:hAnsi="宋体"/>
                <w:color w:val="auto"/>
                <w:sz w:val="21"/>
                <w:szCs w:val="21"/>
              </w:rPr>
              <w:t>1W</w:t>
            </w:r>
          </w:p>
        </w:tc>
      </w:tr>
      <w:tr w14:paraId="6959B0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5CCE995A">
            <w:pPr>
              <w:snapToGrid w:val="0"/>
              <w:jc w:val="center"/>
              <w:rPr>
                <w:rFonts w:hint="eastAsia" w:hAnsi="宋体"/>
                <w:color w:val="auto"/>
                <w:sz w:val="21"/>
                <w:szCs w:val="21"/>
              </w:rPr>
            </w:pPr>
            <w:r>
              <w:rPr>
                <w:rFonts w:hint="eastAsia" w:hAnsi="宋体"/>
                <w:color w:val="auto"/>
                <w:sz w:val="21"/>
                <w:szCs w:val="21"/>
              </w:rPr>
              <w:t>高功率输出</w:t>
            </w:r>
          </w:p>
        </w:tc>
        <w:tc>
          <w:tcPr>
            <w:tcW w:w="3033" w:type="pct"/>
            <w:tcMar>
              <w:top w:w="0" w:type="dxa"/>
              <w:left w:w="0" w:type="dxa"/>
              <w:right w:w="0" w:type="dxa"/>
            </w:tcMar>
            <w:vAlign w:val="center"/>
          </w:tcPr>
          <w:p w14:paraId="7CDDF054">
            <w:pPr>
              <w:snapToGrid w:val="0"/>
              <w:ind w:left="56" w:leftChars="20" w:right="56" w:rightChars="20"/>
              <w:jc w:val="left"/>
              <w:rPr>
                <w:rFonts w:hint="eastAsia" w:hAnsi="宋体"/>
                <w:color w:val="auto"/>
                <w:sz w:val="21"/>
                <w:szCs w:val="21"/>
              </w:rPr>
            </w:pPr>
            <w:r>
              <w:rPr>
                <w:rFonts w:hint="eastAsia" w:hAnsi="宋体"/>
                <w:color w:val="auto"/>
                <w:sz w:val="21"/>
                <w:szCs w:val="21"/>
              </w:rPr>
              <w:t>4W</w:t>
            </w:r>
          </w:p>
        </w:tc>
      </w:tr>
      <w:tr w14:paraId="6DA863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30C81998">
            <w:pPr>
              <w:snapToGrid w:val="0"/>
              <w:jc w:val="center"/>
              <w:rPr>
                <w:rFonts w:hint="eastAsia" w:hAnsi="宋体"/>
                <w:color w:val="auto"/>
                <w:sz w:val="21"/>
                <w:szCs w:val="21"/>
              </w:rPr>
            </w:pPr>
            <w:r>
              <w:rPr>
                <w:rFonts w:hint="eastAsia" w:hAnsi="宋体"/>
                <w:color w:val="auto"/>
                <w:sz w:val="21"/>
                <w:szCs w:val="21"/>
              </w:rPr>
              <w:t>调制限制</w:t>
            </w:r>
          </w:p>
        </w:tc>
        <w:tc>
          <w:tcPr>
            <w:tcW w:w="3033" w:type="pct"/>
            <w:tcMar>
              <w:top w:w="0" w:type="dxa"/>
              <w:left w:w="0" w:type="dxa"/>
              <w:right w:w="0" w:type="dxa"/>
            </w:tcMar>
            <w:vAlign w:val="center"/>
          </w:tcPr>
          <w:p w14:paraId="078AAA00">
            <w:pPr>
              <w:snapToGrid w:val="0"/>
              <w:ind w:left="56" w:leftChars="20" w:right="56" w:rightChars="20"/>
              <w:jc w:val="left"/>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2.5kHz @ 12.5kHz/</w:t>
            </w:r>
            <w:r>
              <w:rPr>
                <w:rFonts w:hint="eastAsia" w:ascii="宋体" w:hAnsi="宋体"/>
                <w:color w:val="auto"/>
                <w:sz w:val="21"/>
                <w:szCs w:val="21"/>
              </w:rPr>
              <w:t>±</w:t>
            </w:r>
            <w:r>
              <w:rPr>
                <w:rFonts w:hint="eastAsia" w:hAnsi="宋体"/>
                <w:color w:val="auto"/>
                <w:sz w:val="21"/>
                <w:szCs w:val="21"/>
              </w:rPr>
              <w:t>5.0kHz @ 25kHz³</w:t>
            </w:r>
          </w:p>
        </w:tc>
      </w:tr>
      <w:tr w14:paraId="3B5E50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700EF940">
            <w:pPr>
              <w:snapToGrid w:val="0"/>
              <w:jc w:val="center"/>
              <w:rPr>
                <w:rFonts w:hint="eastAsia" w:hAnsi="宋体"/>
                <w:color w:val="auto"/>
                <w:sz w:val="21"/>
                <w:szCs w:val="21"/>
              </w:rPr>
            </w:pPr>
            <w:r>
              <w:rPr>
                <w:rFonts w:hint="eastAsia" w:hAnsi="宋体"/>
                <w:color w:val="auto"/>
                <w:sz w:val="21"/>
                <w:szCs w:val="21"/>
              </w:rPr>
              <w:t>FM交流声与噪声</w:t>
            </w:r>
          </w:p>
          <w:p w14:paraId="097D1140">
            <w:pPr>
              <w:snapToGrid w:val="0"/>
              <w:jc w:val="center"/>
              <w:rPr>
                <w:rFonts w:hint="eastAsia" w:hAnsi="宋体"/>
                <w:color w:val="auto"/>
                <w:sz w:val="21"/>
                <w:szCs w:val="21"/>
              </w:rPr>
            </w:pPr>
          </w:p>
        </w:tc>
        <w:tc>
          <w:tcPr>
            <w:tcW w:w="3033" w:type="pct"/>
            <w:tcMar>
              <w:top w:w="0" w:type="dxa"/>
              <w:left w:w="0" w:type="dxa"/>
              <w:right w:w="0" w:type="dxa"/>
            </w:tcMar>
            <w:vAlign w:val="center"/>
          </w:tcPr>
          <w:p w14:paraId="1E0B879D">
            <w:pPr>
              <w:snapToGrid w:val="0"/>
              <w:ind w:left="56" w:leftChars="20" w:right="56" w:rightChars="20"/>
              <w:jc w:val="left"/>
              <w:rPr>
                <w:rFonts w:hint="eastAsia" w:hAnsi="宋体"/>
                <w:color w:val="auto"/>
                <w:sz w:val="21"/>
                <w:szCs w:val="21"/>
              </w:rPr>
            </w:pPr>
            <w:r>
              <w:rPr>
                <w:rFonts w:hint="eastAsia" w:hAnsi="宋体"/>
                <w:color w:val="auto"/>
                <w:sz w:val="21"/>
                <w:szCs w:val="21"/>
              </w:rPr>
              <w:t>-40dB @ 12.5kHz/-45dB @ 25kHz³</w:t>
            </w:r>
          </w:p>
        </w:tc>
      </w:tr>
      <w:tr w14:paraId="064F3D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2C4F90BC">
            <w:pPr>
              <w:snapToGrid w:val="0"/>
              <w:jc w:val="center"/>
              <w:rPr>
                <w:rFonts w:hint="eastAsia" w:hAnsi="宋体"/>
                <w:color w:val="auto"/>
                <w:sz w:val="21"/>
                <w:szCs w:val="21"/>
              </w:rPr>
            </w:pPr>
            <w:r>
              <w:rPr>
                <w:rFonts w:hint="eastAsia" w:hAnsi="宋体"/>
                <w:color w:val="auto"/>
                <w:sz w:val="21"/>
                <w:szCs w:val="21"/>
              </w:rPr>
              <w:t>传导/辐射</w:t>
            </w:r>
          </w:p>
        </w:tc>
        <w:tc>
          <w:tcPr>
            <w:tcW w:w="3033" w:type="pct"/>
            <w:tcMar>
              <w:top w:w="0" w:type="dxa"/>
              <w:left w:w="0" w:type="dxa"/>
              <w:right w:w="0" w:type="dxa"/>
            </w:tcMar>
            <w:vAlign w:val="center"/>
          </w:tcPr>
          <w:p w14:paraId="03704D39">
            <w:pPr>
              <w:snapToGrid w:val="0"/>
              <w:ind w:left="56" w:leftChars="20" w:right="56" w:rightChars="20"/>
              <w:jc w:val="left"/>
              <w:rPr>
                <w:rFonts w:hint="eastAsia" w:hAnsi="宋体"/>
                <w:color w:val="auto"/>
                <w:sz w:val="21"/>
                <w:szCs w:val="21"/>
              </w:rPr>
            </w:pPr>
            <w:r>
              <w:rPr>
                <w:rFonts w:hint="eastAsia" w:hAnsi="宋体"/>
                <w:color w:val="auto"/>
                <w:sz w:val="21"/>
                <w:szCs w:val="21"/>
              </w:rPr>
              <w:t>-36dBm &lt; 1GHz/-30dBm &gt; 1GHz</w:t>
            </w:r>
          </w:p>
        </w:tc>
      </w:tr>
      <w:tr w14:paraId="2ACE99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2901CC5E">
            <w:pPr>
              <w:snapToGrid w:val="0"/>
              <w:jc w:val="center"/>
              <w:rPr>
                <w:rFonts w:hint="eastAsia" w:hAnsi="宋体"/>
                <w:color w:val="auto"/>
                <w:sz w:val="21"/>
                <w:szCs w:val="21"/>
              </w:rPr>
            </w:pPr>
            <w:r>
              <w:rPr>
                <w:rFonts w:hint="eastAsia" w:hAnsi="宋体"/>
                <w:color w:val="auto"/>
                <w:sz w:val="21"/>
                <w:szCs w:val="21"/>
              </w:rPr>
              <w:t>临近信道功率</w:t>
            </w:r>
          </w:p>
        </w:tc>
        <w:tc>
          <w:tcPr>
            <w:tcW w:w="3033" w:type="pct"/>
            <w:tcMar>
              <w:top w:w="0" w:type="dxa"/>
              <w:left w:w="0" w:type="dxa"/>
              <w:right w:w="0" w:type="dxa"/>
            </w:tcMar>
            <w:vAlign w:val="center"/>
          </w:tcPr>
          <w:p w14:paraId="4509FA28">
            <w:pPr>
              <w:snapToGrid w:val="0"/>
              <w:ind w:left="56" w:leftChars="20" w:right="56" w:rightChars="20"/>
              <w:jc w:val="left"/>
              <w:rPr>
                <w:rFonts w:hint="eastAsia" w:hAnsi="宋体"/>
                <w:color w:val="auto"/>
                <w:sz w:val="21"/>
                <w:szCs w:val="21"/>
              </w:rPr>
            </w:pPr>
            <w:r>
              <w:rPr>
                <w:rFonts w:hint="eastAsia" w:hAnsi="宋体"/>
                <w:color w:val="auto"/>
                <w:sz w:val="21"/>
                <w:szCs w:val="21"/>
              </w:rPr>
              <w:t>60dB @ 12.5kHz/70dB @ 25kHz³</w:t>
            </w:r>
          </w:p>
        </w:tc>
      </w:tr>
      <w:tr w14:paraId="14F2A9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52DE4D8A">
            <w:pPr>
              <w:snapToGrid w:val="0"/>
              <w:jc w:val="center"/>
              <w:rPr>
                <w:rFonts w:hint="eastAsia" w:hAnsi="宋体"/>
                <w:color w:val="auto"/>
                <w:sz w:val="21"/>
                <w:szCs w:val="21"/>
              </w:rPr>
            </w:pPr>
            <w:r>
              <w:rPr>
                <w:rFonts w:hint="eastAsia" w:hAnsi="宋体"/>
                <w:color w:val="auto"/>
                <w:sz w:val="21"/>
                <w:szCs w:val="21"/>
              </w:rPr>
              <w:t>音频响应</w:t>
            </w:r>
          </w:p>
        </w:tc>
        <w:tc>
          <w:tcPr>
            <w:tcW w:w="3033" w:type="pct"/>
            <w:tcMar>
              <w:top w:w="0" w:type="dxa"/>
              <w:left w:w="0" w:type="dxa"/>
              <w:right w:w="0" w:type="dxa"/>
            </w:tcMar>
            <w:vAlign w:val="center"/>
          </w:tcPr>
          <w:p w14:paraId="35518F49">
            <w:pPr>
              <w:snapToGrid w:val="0"/>
              <w:ind w:left="56" w:leftChars="20" w:right="56" w:rightChars="20"/>
              <w:jc w:val="left"/>
              <w:rPr>
                <w:rFonts w:hint="eastAsia" w:hAnsi="宋体"/>
                <w:color w:val="auto"/>
                <w:sz w:val="21"/>
                <w:szCs w:val="21"/>
              </w:rPr>
            </w:pPr>
            <w:r>
              <w:rPr>
                <w:rFonts w:hint="eastAsia" w:hAnsi="宋体"/>
                <w:color w:val="auto"/>
                <w:sz w:val="21"/>
                <w:szCs w:val="21"/>
              </w:rPr>
              <w:t>TIA603D</w:t>
            </w:r>
          </w:p>
        </w:tc>
      </w:tr>
      <w:tr w14:paraId="586378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1967" w:type="pct"/>
            <w:tcMar>
              <w:top w:w="0" w:type="dxa"/>
              <w:left w:w="0" w:type="dxa"/>
              <w:right w:w="0" w:type="dxa"/>
            </w:tcMar>
            <w:vAlign w:val="center"/>
          </w:tcPr>
          <w:p w14:paraId="3C5AA67F">
            <w:pPr>
              <w:snapToGrid w:val="0"/>
              <w:jc w:val="center"/>
              <w:rPr>
                <w:rFonts w:hint="eastAsia" w:hAnsi="宋体"/>
                <w:color w:val="auto"/>
                <w:sz w:val="21"/>
                <w:szCs w:val="21"/>
              </w:rPr>
            </w:pPr>
            <w:r>
              <w:rPr>
                <w:rFonts w:hint="eastAsia" w:hAnsi="宋体"/>
                <w:color w:val="auto"/>
                <w:sz w:val="21"/>
                <w:szCs w:val="21"/>
              </w:rPr>
              <w:t>音频失真</w:t>
            </w:r>
          </w:p>
        </w:tc>
        <w:tc>
          <w:tcPr>
            <w:tcW w:w="3033" w:type="pct"/>
            <w:tcMar>
              <w:top w:w="0" w:type="dxa"/>
              <w:left w:w="0" w:type="dxa"/>
              <w:right w:w="0" w:type="dxa"/>
            </w:tcMar>
            <w:vAlign w:val="center"/>
          </w:tcPr>
          <w:p w14:paraId="7CB21F30">
            <w:pPr>
              <w:snapToGrid w:val="0"/>
              <w:ind w:left="56" w:leftChars="20" w:right="56" w:rightChars="20"/>
              <w:jc w:val="left"/>
              <w:rPr>
                <w:rFonts w:hint="eastAsia" w:hAnsi="宋体"/>
                <w:color w:val="auto"/>
                <w:sz w:val="21"/>
                <w:szCs w:val="21"/>
              </w:rPr>
            </w:pPr>
            <w:r>
              <w:rPr>
                <w:rFonts w:hint="eastAsia" w:hAnsi="宋体"/>
                <w:color w:val="auto"/>
                <w:sz w:val="21"/>
                <w:szCs w:val="21"/>
              </w:rPr>
              <w:t>3%</w:t>
            </w:r>
          </w:p>
        </w:tc>
      </w:tr>
      <w:tr w14:paraId="1B2B71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vMerge w:val="restart"/>
            <w:tcMar>
              <w:top w:w="0" w:type="dxa"/>
              <w:left w:w="0" w:type="dxa"/>
              <w:right w:w="0" w:type="dxa"/>
            </w:tcMar>
            <w:vAlign w:val="center"/>
          </w:tcPr>
          <w:p w14:paraId="7B1122CD">
            <w:pPr>
              <w:snapToGrid w:val="0"/>
              <w:jc w:val="center"/>
              <w:rPr>
                <w:rFonts w:hint="eastAsia" w:hAnsi="宋体"/>
                <w:color w:val="auto"/>
                <w:sz w:val="21"/>
                <w:szCs w:val="21"/>
              </w:rPr>
            </w:pPr>
            <w:r>
              <w:rPr>
                <w:rFonts w:hint="eastAsia" w:hAnsi="宋体"/>
                <w:color w:val="auto"/>
                <w:sz w:val="21"/>
                <w:szCs w:val="21"/>
              </w:rPr>
              <w:t>4FSK D数字调试</w:t>
            </w:r>
          </w:p>
        </w:tc>
        <w:tc>
          <w:tcPr>
            <w:tcW w:w="3033" w:type="pct"/>
            <w:tcMar>
              <w:top w:w="0" w:type="dxa"/>
              <w:left w:w="0" w:type="dxa"/>
              <w:right w:w="0" w:type="dxa"/>
            </w:tcMar>
            <w:vAlign w:val="center"/>
          </w:tcPr>
          <w:p w14:paraId="5B710DCE">
            <w:pPr>
              <w:snapToGrid w:val="0"/>
              <w:ind w:left="56" w:leftChars="20" w:right="56" w:rightChars="20"/>
              <w:jc w:val="left"/>
              <w:rPr>
                <w:rFonts w:hint="eastAsia" w:hAnsi="宋体"/>
                <w:color w:val="auto"/>
                <w:sz w:val="21"/>
                <w:szCs w:val="21"/>
              </w:rPr>
            </w:pPr>
            <w:r>
              <w:rPr>
                <w:rFonts w:hint="eastAsia" w:hAnsi="宋体"/>
                <w:color w:val="auto"/>
                <w:sz w:val="21"/>
                <w:szCs w:val="21"/>
              </w:rPr>
              <w:t>12.5kHZ数据：7K60F1D和7K60FXD</w:t>
            </w:r>
          </w:p>
        </w:tc>
      </w:tr>
      <w:tr w14:paraId="020A1A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vMerge w:val="continue"/>
            <w:tcMar>
              <w:top w:w="0" w:type="dxa"/>
              <w:left w:w="0" w:type="dxa"/>
              <w:right w:w="0" w:type="dxa"/>
            </w:tcMar>
            <w:vAlign w:val="center"/>
          </w:tcPr>
          <w:p w14:paraId="6C9DCC8D">
            <w:pPr>
              <w:snapToGrid w:val="0"/>
              <w:jc w:val="center"/>
              <w:rPr>
                <w:rFonts w:hint="eastAsia" w:hAnsi="宋体"/>
                <w:color w:val="auto"/>
                <w:sz w:val="21"/>
                <w:szCs w:val="21"/>
              </w:rPr>
            </w:pPr>
          </w:p>
        </w:tc>
        <w:tc>
          <w:tcPr>
            <w:tcW w:w="3033" w:type="pct"/>
            <w:tcMar>
              <w:top w:w="0" w:type="dxa"/>
              <w:left w:w="0" w:type="dxa"/>
              <w:right w:w="0" w:type="dxa"/>
            </w:tcMar>
            <w:vAlign w:val="center"/>
          </w:tcPr>
          <w:p w14:paraId="7CBD3794">
            <w:pPr>
              <w:snapToGrid w:val="0"/>
              <w:ind w:left="56" w:leftChars="20" w:right="56" w:rightChars="20"/>
              <w:jc w:val="left"/>
              <w:rPr>
                <w:rFonts w:hint="eastAsia" w:hAnsi="宋体"/>
                <w:color w:val="auto"/>
                <w:sz w:val="21"/>
                <w:szCs w:val="21"/>
              </w:rPr>
            </w:pPr>
            <w:r>
              <w:rPr>
                <w:rFonts w:hint="eastAsia" w:hAnsi="宋体"/>
                <w:color w:val="auto"/>
                <w:sz w:val="21"/>
                <w:szCs w:val="21"/>
              </w:rPr>
              <w:t>12.5kHZ语音：7K60F1E和7K60FXE</w:t>
            </w:r>
          </w:p>
        </w:tc>
      </w:tr>
      <w:tr w14:paraId="233B82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vMerge w:val="continue"/>
            <w:tcMar>
              <w:top w:w="0" w:type="dxa"/>
              <w:left w:w="0" w:type="dxa"/>
              <w:right w:w="0" w:type="dxa"/>
            </w:tcMar>
            <w:vAlign w:val="center"/>
          </w:tcPr>
          <w:p w14:paraId="58A4DCEE">
            <w:pPr>
              <w:snapToGrid w:val="0"/>
              <w:jc w:val="center"/>
              <w:rPr>
                <w:rFonts w:hint="eastAsia" w:hAnsi="宋体"/>
                <w:color w:val="auto"/>
                <w:sz w:val="21"/>
                <w:szCs w:val="21"/>
              </w:rPr>
            </w:pPr>
          </w:p>
        </w:tc>
        <w:tc>
          <w:tcPr>
            <w:tcW w:w="3033" w:type="pct"/>
            <w:tcMar>
              <w:top w:w="0" w:type="dxa"/>
              <w:left w:w="0" w:type="dxa"/>
              <w:right w:w="0" w:type="dxa"/>
            </w:tcMar>
            <w:vAlign w:val="center"/>
          </w:tcPr>
          <w:p w14:paraId="47BC70AD">
            <w:pPr>
              <w:snapToGrid w:val="0"/>
              <w:ind w:left="56" w:leftChars="20" w:right="56" w:rightChars="20"/>
              <w:jc w:val="left"/>
              <w:rPr>
                <w:rFonts w:hint="eastAsia" w:hAnsi="宋体"/>
                <w:color w:val="auto"/>
                <w:sz w:val="21"/>
                <w:szCs w:val="21"/>
              </w:rPr>
            </w:pPr>
            <w:r>
              <w:rPr>
                <w:rFonts w:hint="eastAsia" w:hAnsi="宋体"/>
                <w:color w:val="auto"/>
                <w:sz w:val="21"/>
                <w:szCs w:val="21"/>
              </w:rPr>
              <w:t>12.5kHZ语音和数据：7K60F1W</w:t>
            </w:r>
          </w:p>
        </w:tc>
      </w:tr>
      <w:tr w14:paraId="00235B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3CF71C15">
            <w:pPr>
              <w:snapToGrid w:val="0"/>
              <w:jc w:val="center"/>
              <w:rPr>
                <w:rFonts w:hint="eastAsia" w:hAnsi="宋体"/>
                <w:color w:val="auto"/>
                <w:sz w:val="21"/>
                <w:szCs w:val="21"/>
              </w:rPr>
            </w:pPr>
            <w:r>
              <w:rPr>
                <w:rFonts w:hint="eastAsia" w:hAnsi="宋体"/>
                <w:color w:val="auto"/>
                <w:sz w:val="21"/>
                <w:szCs w:val="21"/>
              </w:rPr>
              <w:t>数字语音编码器类型</w:t>
            </w:r>
          </w:p>
        </w:tc>
        <w:tc>
          <w:tcPr>
            <w:tcW w:w="3033" w:type="pct"/>
            <w:tcMar>
              <w:top w:w="0" w:type="dxa"/>
              <w:left w:w="0" w:type="dxa"/>
              <w:right w:w="0" w:type="dxa"/>
            </w:tcMar>
            <w:vAlign w:val="center"/>
          </w:tcPr>
          <w:p w14:paraId="6EFD228D">
            <w:pPr>
              <w:snapToGrid w:val="0"/>
              <w:ind w:left="56" w:leftChars="20" w:right="56" w:rightChars="20"/>
              <w:jc w:val="left"/>
              <w:rPr>
                <w:rFonts w:hint="eastAsia" w:hAnsi="宋体"/>
                <w:color w:val="auto"/>
                <w:sz w:val="21"/>
                <w:szCs w:val="21"/>
              </w:rPr>
            </w:pPr>
            <w:r>
              <w:rPr>
                <w:rFonts w:hint="eastAsia" w:hAnsi="宋体"/>
                <w:color w:val="auto"/>
                <w:sz w:val="21"/>
                <w:szCs w:val="21"/>
              </w:rPr>
              <w:t>AMBE+2</w:t>
            </w:r>
            <w:r>
              <w:rPr>
                <w:rFonts w:hAnsi="Cambria" w:cs="Cambria"/>
                <w:color w:val="auto"/>
                <w:sz w:val="21"/>
                <w:szCs w:val="21"/>
              </w:rPr>
              <w:t>ᵀᴹ</w:t>
            </w:r>
          </w:p>
        </w:tc>
      </w:tr>
      <w:tr w14:paraId="5E046F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67800D2D">
            <w:pPr>
              <w:snapToGrid w:val="0"/>
              <w:jc w:val="center"/>
              <w:rPr>
                <w:rFonts w:hint="eastAsia" w:hAnsi="宋体"/>
                <w:color w:val="auto"/>
                <w:sz w:val="21"/>
                <w:szCs w:val="21"/>
              </w:rPr>
            </w:pPr>
            <w:r>
              <w:rPr>
                <w:rFonts w:hint="eastAsia" w:hAnsi="宋体"/>
                <w:color w:val="auto"/>
                <w:sz w:val="21"/>
                <w:szCs w:val="21"/>
              </w:rPr>
              <w:t>数字协议</w:t>
            </w:r>
          </w:p>
        </w:tc>
        <w:tc>
          <w:tcPr>
            <w:tcW w:w="3033" w:type="pct"/>
            <w:tcMar>
              <w:top w:w="0" w:type="dxa"/>
              <w:left w:w="0" w:type="dxa"/>
              <w:right w:w="0" w:type="dxa"/>
            </w:tcMar>
            <w:vAlign w:val="center"/>
          </w:tcPr>
          <w:p w14:paraId="36866CB0">
            <w:pPr>
              <w:snapToGrid w:val="0"/>
              <w:ind w:left="56" w:leftChars="20" w:right="56" w:rightChars="20"/>
              <w:jc w:val="left"/>
              <w:rPr>
                <w:rFonts w:hint="eastAsia" w:hAnsi="宋体"/>
                <w:color w:val="auto"/>
                <w:sz w:val="21"/>
                <w:szCs w:val="21"/>
              </w:rPr>
            </w:pPr>
            <w:r>
              <w:rPr>
                <w:rFonts w:hint="eastAsia" w:hAnsi="宋体"/>
                <w:color w:val="auto"/>
                <w:sz w:val="21"/>
                <w:szCs w:val="21"/>
              </w:rPr>
              <w:t>ETSI TS 102 361-1，-2，-3</w:t>
            </w:r>
          </w:p>
        </w:tc>
      </w:tr>
      <w:tr w14:paraId="7000B6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64" w:hRule="atLeast"/>
          <w:jc w:val="center"/>
        </w:trPr>
        <w:tc>
          <w:tcPr>
            <w:tcW w:w="5000" w:type="pct"/>
            <w:gridSpan w:val="2"/>
            <w:tcMar>
              <w:top w:w="0" w:type="dxa"/>
              <w:left w:w="0" w:type="dxa"/>
              <w:right w:w="0" w:type="dxa"/>
            </w:tcMar>
            <w:vAlign w:val="center"/>
          </w:tcPr>
          <w:p w14:paraId="6B24709A">
            <w:pPr>
              <w:snapToGrid w:val="0"/>
              <w:jc w:val="center"/>
              <w:rPr>
                <w:rFonts w:hint="eastAsia" w:hAnsi="宋体"/>
                <w:color w:val="auto"/>
                <w:sz w:val="21"/>
                <w:szCs w:val="21"/>
              </w:rPr>
            </w:pPr>
            <w:r>
              <w:rPr>
                <w:rFonts w:hint="eastAsia" w:hAnsi="宋体"/>
                <w:color w:val="auto"/>
                <w:sz w:val="21"/>
                <w:szCs w:val="21"/>
              </w:rPr>
              <w:t>环境规范</w:t>
            </w:r>
          </w:p>
        </w:tc>
      </w:tr>
      <w:tr w14:paraId="3C92E6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6677CE50">
            <w:pPr>
              <w:snapToGrid w:val="0"/>
              <w:jc w:val="center"/>
              <w:rPr>
                <w:rFonts w:hint="eastAsia" w:hAnsi="宋体"/>
                <w:color w:val="auto"/>
                <w:sz w:val="21"/>
                <w:szCs w:val="21"/>
              </w:rPr>
            </w:pPr>
            <w:r>
              <w:rPr>
                <w:rFonts w:hint="eastAsia" w:hAnsi="宋体"/>
                <w:color w:val="auto"/>
                <w:sz w:val="21"/>
                <w:szCs w:val="21"/>
              </w:rPr>
              <w:t>工作温度范围</w:t>
            </w:r>
          </w:p>
        </w:tc>
        <w:tc>
          <w:tcPr>
            <w:tcW w:w="3033" w:type="pct"/>
            <w:tcMar>
              <w:top w:w="0" w:type="dxa"/>
              <w:left w:w="0" w:type="dxa"/>
              <w:right w:w="0" w:type="dxa"/>
            </w:tcMar>
            <w:vAlign w:val="center"/>
          </w:tcPr>
          <w:p w14:paraId="1D32AFE7">
            <w:pPr>
              <w:snapToGrid w:val="0"/>
              <w:ind w:left="56" w:leftChars="20" w:right="56" w:rightChars="20"/>
              <w:jc w:val="left"/>
              <w:rPr>
                <w:rFonts w:hint="eastAsia" w:hAnsi="宋体"/>
                <w:color w:val="auto"/>
                <w:sz w:val="21"/>
                <w:szCs w:val="21"/>
              </w:rPr>
            </w:pPr>
            <w:r>
              <w:rPr>
                <w:rFonts w:hint="eastAsia" w:hAnsi="宋体"/>
                <w:color w:val="auto"/>
                <w:sz w:val="21"/>
                <w:szCs w:val="21"/>
              </w:rPr>
              <w:t>-30°C/+ 60°C</w:t>
            </w:r>
          </w:p>
        </w:tc>
      </w:tr>
      <w:tr w14:paraId="1BC60F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6A9E64DF">
            <w:pPr>
              <w:snapToGrid w:val="0"/>
              <w:jc w:val="center"/>
              <w:rPr>
                <w:rFonts w:hint="eastAsia" w:hAnsi="宋体"/>
                <w:color w:val="auto"/>
                <w:sz w:val="21"/>
                <w:szCs w:val="21"/>
              </w:rPr>
            </w:pPr>
            <w:r>
              <w:rPr>
                <w:rFonts w:hint="eastAsia" w:hAnsi="宋体"/>
                <w:color w:val="auto"/>
                <w:sz w:val="21"/>
                <w:szCs w:val="21"/>
              </w:rPr>
              <w:t>存放温度</w:t>
            </w:r>
          </w:p>
        </w:tc>
        <w:tc>
          <w:tcPr>
            <w:tcW w:w="3033" w:type="pct"/>
            <w:tcMar>
              <w:top w:w="0" w:type="dxa"/>
              <w:left w:w="0" w:type="dxa"/>
              <w:right w:w="0" w:type="dxa"/>
            </w:tcMar>
            <w:vAlign w:val="center"/>
          </w:tcPr>
          <w:p w14:paraId="59909C39">
            <w:pPr>
              <w:snapToGrid w:val="0"/>
              <w:ind w:left="56" w:leftChars="20" w:right="56" w:rightChars="20"/>
              <w:jc w:val="left"/>
              <w:rPr>
                <w:rFonts w:hint="eastAsia" w:hAnsi="宋体"/>
                <w:color w:val="auto"/>
                <w:sz w:val="21"/>
                <w:szCs w:val="21"/>
              </w:rPr>
            </w:pPr>
            <w:r>
              <w:rPr>
                <w:rFonts w:hint="eastAsia" w:hAnsi="宋体"/>
                <w:color w:val="auto"/>
                <w:sz w:val="21"/>
                <w:szCs w:val="21"/>
              </w:rPr>
              <w:t>-40°C/+85°C</w:t>
            </w:r>
          </w:p>
        </w:tc>
      </w:tr>
      <w:tr w14:paraId="0F66AA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183C1F1F">
            <w:pPr>
              <w:snapToGrid w:val="0"/>
              <w:jc w:val="center"/>
              <w:rPr>
                <w:rFonts w:hint="eastAsia" w:hAnsi="宋体"/>
                <w:color w:val="auto"/>
                <w:sz w:val="21"/>
                <w:szCs w:val="21"/>
              </w:rPr>
            </w:pPr>
            <w:r>
              <w:rPr>
                <w:rFonts w:hint="eastAsia" w:hAnsi="宋体"/>
                <w:color w:val="auto"/>
                <w:sz w:val="21"/>
                <w:szCs w:val="21"/>
              </w:rPr>
              <w:t>ESD</w:t>
            </w:r>
          </w:p>
        </w:tc>
        <w:tc>
          <w:tcPr>
            <w:tcW w:w="3033" w:type="pct"/>
            <w:tcMar>
              <w:top w:w="0" w:type="dxa"/>
              <w:left w:w="0" w:type="dxa"/>
              <w:right w:w="0" w:type="dxa"/>
            </w:tcMar>
            <w:vAlign w:val="center"/>
          </w:tcPr>
          <w:p w14:paraId="5582A0FB">
            <w:pPr>
              <w:snapToGrid w:val="0"/>
              <w:ind w:left="56" w:leftChars="20" w:right="56" w:rightChars="20"/>
              <w:jc w:val="left"/>
              <w:rPr>
                <w:rFonts w:hint="eastAsia" w:hAnsi="宋体"/>
                <w:color w:val="auto"/>
                <w:sz w:val="21"/>
                <w:szCs w:val="21"/>
              </w:rPr>
            </w:pPr>
            <w:r>
              <w:rPr>
                <w:rFonts w:hint="eastAsia" w:hAnsi="宋体"/>
                <w:color w:val="auto"/>
                <w:sz w:val="21"/>
                <w:szCs w:val="21"/>
              </w:rPr>
              <w:t>IEC 61000-4-2 level 3</w:t>
            </w:r>
          </w:p>
        </w:tc>
      </w:tr>
      <w:tr w14:paraId="5AB962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967" w:type="pct"/>
            <w:tcMar>
              <w:top w:w="0" w:type="dxa"/>
              <w:left w:w="0" w:type="dxa"/>
              <w:right w:w="0" w:type="dxa"/>
            </w:tcMar>
            <w:vAlign w:val="center"/>
          </w:tcPr>
          <w:p w14:paraId="709F519D">
            <w:pPr>
              <w:snapToGrid w:val="0"/>
              <w:jc w:val="center"/>
              <w:rPr>
                <w:rFonts w:hint="eastAsia" w:hAnsi="宋体"/>
                <w:color w:val="auto"/>
                <w:sz w:val="21"/>
                <w:szCs w:val="21"/>
              </w:rPr>
            </w:pPr>
            <w:r>
              <w:rPr>
                <w:rFonts w:hint="eastAsia" w:hAnsi="宋体"/>
                <w:color w:val="auto"/>
                <w:sz w:val="21"/>
                <w:szCs w:val="21"/>
              </w:rPr>
              <w:t>浸水</w:t>
            </w:r>
          </w:p>
        </w:tc>
        <w:tc>
          <w:tcPr>
            <w:tcW w:w="3033" w:type="pct"/>
            <w:tcMar>
              <w:top w:w="0" w:type="dxa"/>
              <w:left w:w="0" w:type="dxa"/>
              <w:right w:w="0" w:type="dxa"/>
            </w:tcMar>
            <w:vAlign w:val="center"/>
          </w:tcPr>
          <w:p w14:paraId="2B0ADC7D">
            <w:pPr>
              <w:snapToGrid w:val="0"/>
              <w:ind w:left="56" w:leftChars="20" w:right="56" w:rightChars="20"/>
              <w:jc w:val="left"/>
              <w:rPr>
                <w:rFonts w:hint="eastAsia" w:hAnsi="宋体"/>
                <w:color w:val="auto"/>
                <w:sz w:val="21"/>
                <w:szCs w:val="21"/>
              </w:rPr>
            </w:pPr>
            <w:r>
              <w:rPr>
                <w:rFonts w:hint="eastAsia" w:hAnsi="宋体"/>
                <w:color w:val="auto"/>
                <w:sz w:val="21"/>
                <w:szCs w:val="21"/>
              </w:rPr>
              <w:t>IEC 60529 - IP57</w:t>
            </w:r>
          </w:p>
        </w:tc>
      </w:tr>
    </w:tbl>
    <w:p w14:paraId="1516FA2C">
      <w:pPr>
        <w:spacing w:before="120"/>
        <w:ind w:firstLine="422" w:firstLineChars="200"/>
        <w:rPr>
          <w:rFonts w:hint="eastAsia" w:hAnsi="宋体"/>
          <w:b/>
          <w:bCs/>
          <w:color w:val="auto"/>
          <w:sz w:val="21"/>
          <w:szCs w:val="21"/>
        </w:rPr>
      </w:pPr>
      <w:r>
        <w:rPr>
          <w:rFonts w:hint="eastAsia"/>
          <w:b/>
          <w:bCs/>
          <w:color w:val="auto"/>
          <w:sz w:val="21"/>
          <w:szCs w:val="21"/>
        </w:rPr>
        <w:t>6.2</w:t>
      </w:r>
      <w:r>
        <w:rPr>
          <w:rFonts w:hAnsi="宋体"/>
          <w:b/>
          <w:bCs/>
          <w:color w:val="auto"/>
          <w:sz w:val="21"/>
          <w:szCs w:val="21"/>
        </w:rPr>
        <w:t xml:space="preserve">.9  </w:t>
      </w:r>
      <w:r>
        <w:rPr>
          <w:rFonts w:hint="eastAsia"/>
          <w:b/>
          <w:bCs/>
          <w:color w:val="auto"/>
          <w:sz w:val="21"/>
          <w:szCs w:val="21"/>
        </w:rPr>
        <w:t>光纤直放站</w:t>
      </w:r>
    </w:p>
    <w:p w14:paraId="2D882C4C">
      <w:pPr>
        <w:ind w:firstLine="840" w:firstLineChars="400"/>
        <w:rPr>
          <w:color w:val="auto"/>
          <w:sz w:val="21"/>
          <w:szCs w:val="21"/>
        </w:rPr>
      </w:pPr>
      <w:r>
        <w:rPr>
          <w:rFonts w:hint="eastAsia"/>
          <w:color w:val="auto"/>
          <w:sz w:val="21"/>
          <w:szCs w:val="21"/>
        </w:rPr>
        <w:t>本工程利用光纤直放站</w:t>
      </w:r>
      <w:r>
        <w:rPr>
          <w:color w:val="auto"/>
          <w:sz w:val="21"/>
          <w:szCs w:val="21"/>
        </w:rPr>
        <w:t>+</w:t>
      </w:r>
      <w:r>
        <w:rPr>
          <w:rFonts w:hint="eastAsia"/>
          <w:color w:val="auto"/>
          <w:sz w:val="21"/>
          <w:szCs w:val="21"/>
        </w:rPr>
        <w:t>天线</w:t>
      </w:r>
      <w:r>
        <w:rPr>
          <w:color w:val="auto"/>
          <w:sz w:val="21"/>
          <w:szCs w:val="21"/>
        </w:rPr>
        <w:t>/</w:t>
      </w:r>
      <w:r>
        <w:rPr>
          <w:rFonts w:hint="eastAsia"/>
          <w:color w:val="auto"/>
          <w:sz w:val="21"/>
          <w:szCs w:val="21"/>
        </w:rPr>
        <w:t>漏缆的方式来实现区间弱场覆盖。</w:t>
      </w:r>
    </w:p>
    <w:p w14:paraId="5C182FEE">
      <w:pPr>
        <w:ind w:firstLine="840" w:firstLineChars="400"/>
        <w:rPr>
          <w:color w:val="auto"/>
          <w:sz w:val="21"/>
          <w:szCs w:val="21"/>
        </w:rPr>
      </w:pPr>
      <w:r>
        <w:rPr>
          <w:rFonts w:hint="eastAsia"/>
          <w:color w:val="auto"/>
          <w:sz w:val="21"/>
          <w:szCs w:val="21"/>
        </w:rPr>
        <w:t>光纤直放站系统由近端机、远端机和直放站网管构成。</w:t>
      </w:r>
    </w:p>
    <w:p w14:paraId="26F3B2E0">
      <w:pPr>
        <w:ind w:firstLine="420" w:firstLineChars="200"/>
        <w:rPr>
          <w:color w:val="auto"/>
          <w:sz w:val="21"/>
          <w:szCs w:val="21"/>
        </w:rPr>
      </w:pPr>
      <w:r>
        <w:rPr>
          <w:color w:val="auto"/>
          <w:sz w:val="21"/>
          <w:szCs w:val="21"/>
        </w:rPr>
        <w:t xml:space="preserve">1  </w:t>
      </w:r>
      <w:r>
        <w:rPr>
          <w:rFonts w:hint="eastAsia"/>
          <w:color w:val="auto"/>
          <w:sz w:val="21"/>
          <w:szCs w:val="21"/>
        </w:rPr>
        <w:t>光纤直放站近端机、远端机</w:t>
      </w:r>
    </w:p>
    <w:p w14:paraId="6E22070D">
      <w:pPr>
        <w:ind w:firstLine="420" w:firstLineChars="200"/>
        <w:rPr>
          <w:color w:val="auto"/>
          <w:sz w:val="21"/>
          <w:szCs w:val="21"/>
        </w:rPr>
      </w:pPr>
      <w:r>
        <w:rPr>
          <w:rFonts w:hint="eastAsia"/>
          <w:color w:val="auto"/>
          <w:sz w:val="21"/>
          <w:szCs w:val="21"/>
        </w:rPr>
        <w:t>光纤直放站近端机、远端机技术指标不低于下表的要求：</w:t>
      </w:r>
    </w:p>
    <w:p w14:paraId="2A756919">
      <w:pPr>
        <w:spacing w:line="20" w:lineRule="exact"/>
        <w:ind w:firstLine="525"/>
        <w:rPr>
          <w:color w:val="auto"/>
          <w:sz w:val="21"/>
          <w:szCs w:val="21"/>
        </w:rPr>
      </w:pPr>
      <w:r>
        <w:rPr>
          <w:color w:val="auto"/>
          <w:sz w:val="21"/>
          <w:szCs w:val="21"/>
        </w:rPr>
        <w:br w:type="page"/>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867"/>
        <w:gridCol w:w="1086"/>
        <w:gridCol w:w="1549"/>
        <w:gridCol w:w="2498"/>
        <w:gridCol w:w="2326"/>
      </w:tblGrid>
      <w:tr w14:paraId="4CACE7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tblHeader/>
          <w:jc w:val="center"/>
        </w:trPr>
        <w:tc>
          <w:tcPr>
            <w:tcW w:w="521" w:type="pct"/>
            <w:vMerge w:val="restart"/>
            <w:tcMar>
              <w:top w:w="0" w:type="dxa"/>
              <w:left w:w="0" w:type="dxa"/>
              <w:right w:w="0" w:type="dxa"/>
            </w:tcMar>
            <w:vAlign w:val="center"/>
          </w:tcPr>
          <w:p w14:paraId="754DA2CB">
            <w:pPr>
              <w:snapToGrid w:val="0"/>
              <w:jc w:val="center"/>
              <w:rPr>
                <w:color w:val="auto"/>
                <w:sz w:val="21"/>
                <w:szCs w:val="21"/>
              </w:rPr>
            </w:pPr>
            <w:r>
              <w:rPr>
                <w:rFonts w:hint="eastAsia"/>
                <w:color w:val="auto"/>
                <w:sz w:val="21"/>
                <w:szCs w:val="21"/>
              </w:rPr>
              <w:t>序号</w:t>
            </w:r>
          </w:p>
        </w:tc>
        <w:tc>
          <w:tcPr>
            <w:tcW w:w="1582" w:type="pct"/>
            <w:gridSpan w:val="2"/>
            <w:vMerge w:val="restart"/>
            <w:tcMar>
              <w:top w:w="0" w:type="dxa"/>
              <w:left w:w="0" w:type="dxa"/>
              <w:right w:w="0" w:type="dxa"/>
            </w:tcMar>
            <w:vAlign w:val="center"/>
          </w:tcPr>
          <w:p w14:paraId="3E6B4739">
            <w:pPr>
              <w:snapToGrid w:val="0"/>
              <w:jc w:val="center"/>
              <w:rPr>
                <w:color w:val="auto"/>
                <w:sz w:val="21"/>
                <w:szCs w:val="21"/>
              </w:rPr>
            </w:pPr>
            <w:r>
              <w:rPr>
                <w:rFonts w:hint="eastAsia"/>
                <w:color w:val="auto"/>
                <w:sz w:val="21"/>
                <w:szCs w:val="21"/>
              </w:rPr>
              <w:t>项  目</w:t>
            </w:r>
          </w:p>
        </w:tc>
        <w:tc>
          <w:tcPr>
            <w:tcW w:w="2897" w:type="pct"/>
            <w:gridSpan w:val="2"/>
            <w:tcMar>
              <w:top w:w="0" w:type="dxa"/>
              <w:left w:w="0" w:type="dxa"/>
              <w:right w:w="0" w:type="dxa"/>
            </w:tcMar>
            <w:vAlign w:val="center"/>
          </w:tcPr>
          <w:p w14:paraId="34982AC0">
            <w:pPr>
              <w:snapToGrid w:val="0"/>
              <w:jc w:val="center"/>
              <w:rPr>
                <w:color w:val="auto"/>
                <w:sz w:val="21"/>
                <w:szCs w:val="21"/>
              </w:rPr>
            </w:pPr>
            <w:r>
              <w:rPr>
                <w:rFonts w:hint="eastAsia"/>
                <w:color w:val="auto"/>
                <w:sz w:val="21"/>
                <w:szCs w:val="21"/>
              </w:rPr>
              <w:t>技术指标</w:t>
            </w:r>
          </w:p>
        </w:tc>
      </w:tr>
      <w:tr w14:paraId="73DD63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tblHeader/>
          <w:jc w:val="center"/>
        </w:trPr>
        <w:tc>
          <w:tcPr>
            <w:tcW w:w="521" w:type="pct"/>
            <w:vMerge w:val="continue"/>
            <w:tcMar>
              <w:top w:w="0" w:type="dxa"/>
              <w:left w:w="0" w:type="dxa"/>
              <w:right w:w="0" w:type="dxa"/>
            </w:tcMar>
            <w:vAlign w:val="center"/>
          </w:tcPr>
          <w:p w14:paraId="2045C4CC">
            <w:pPr>
              <w:snapToGrid w:val="0"/>
              <w:jc w:val="center"/>
              <w:rPr>
                <w:color w:val="auto"/>
                <w:sz w:val="21"/>
                <w:szCs w:val="21"/>
              </w:rPr>
            </w:pPr>
          </w:p>
        </w:tc>
        <w:tc>
          <w:tcPr>
            <w:tcW w:w="1582" w:type="pct"/>
            <w:gridSpan w:val="2"/>
            <w:vMerge w:val="continue"/>
            <w:tcMar>
              <w:top w:w="0" w:type="dxa"/>
              <w:left w:w="0" w:type="dxa"/>
              <w:right w:w="0" w:type="dxa"/>
            </w:tcMar>
            <w:vAlign w:val="center"/>
          </w:tcPr>
          <w:p w14:paraId="2F9B7C5C">
            <w:pPr>
              <w:snapToGrid w:val="0"/>
              <w:jc w:val="center"/>
              <w:rPr>
                <w:color w:val="auto"/>
                <w:sz w:val="21"/>
                <w:szCs w:val="21"/>
              </w:rPr>
            </w:pPr>
          </w:p>
        </w:tc>
        <w:tc>
          <w:tcPr>
            <w:tcW w:w="1500" w:type="pct"/>
            <w:tcMar>
              <w:top w:w="0" w:type="dxa"/>
              <w:left w:w="0" w:type="dxa"/>
              <w:right w:w="0" w:type="dxa"/>
            </w:tcMar>
            <w:vAlign w:val="center"/>
          </w:tcPr>
          <w:p w14:paraId="7AFE9C60">
            <w:pPr>
              <w:snapToGrid w:val="0"/>
              <w:jc w:val="center"/>
              <w:rPr>
                <w:color w:val="auto"/>
                <w:sz w:val="21"/>
                <w:szCs w:val="21"/>
              </w:rPr>
            </w:pPr>
            <w:r>
              <w:rPr>
                <w:rFonts w:hint="eastAsia"/>
                <w:color w:val="auto"/>
                <w:sz w:val="21"/>
                <w:szCs w:val="21"/>
              </w:rPr>
              <w:t>上行</w:t>
            </w:r>
          </w:p>
        </w:tc>
        <w:tc>
          <w:tcPr>
            <w:tcW w:w="1397" w:type="pct"/>
            <w:tcMar>
              <w:top w:w="0" w:type="dxa"/>
              <w:left w:w="0" w:type="dxa"/>
              <w:right w:w="0" w:type="dxa"/>
            </w:tcMar>
            <w:vAlign w:val="center"/>
          </w:tcPr>
          <w:p w14:paraId="14C20F9B">
            <w:pPr>
              <w:snapToGrid w:val="0"/>
              <w:jc w:val="center"/>
              <w:rPr>
                <w:color w:val="auto"/>
                <w:sz w:val="21"/>
                <w:szCs w:val="21"/>
              </w:rPr>
            </w:pPr>
            <w:r>
              <w:rPr>
                <w:rFonts w:hint="eastAsia"/>
                <w:color w:val="auto"/>
                <w:sz w:val="21"/>
                <w:szCs w:val="21"/>
              </w:rPr>
              <w:t>下行</w:t>
            </w:r>
          </w:p>
        </w:tc>
      </w:tr>
      <w:tr w14:paraId="196128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tcMar>
              <w:top w:w="0" w:type="dxa"/>
              <w:left w:w="0" w:type="dxa"/>
              <w:right w:w="0" w:type="dxa"/>
            </w:tcMar>
            <w:vAlign w:val="center"/>
          </w:tcPr>
          <w:p w14:paraId="0F32CC8E">
            <w:pPr>
              <w:snapToGrid w:val="0"/>
              <w:jc w:val="center"/>
              <w:rPr>
                <w:rFonts w:hint="eastAsia" w:hAnsi="宋体"/>
                <w:color w:val="auto"/>
                <w:sz w:val="21"/>
                <w:szCs w:val="21"/>
              </w:rPr>
            </w:pPr>
            <w:r>
              <w:rPr>
                <w:rFonts w:hint="eastAsia" w:hAnsi="宋体"/>
                <w:color w:val="auto"/>
                <w:sz w:val="21"/>
                <w:szCs w:val="21"/>
              </w:rPr>
              <w:t>1</w:t>
            </w:r>
          </w:p>
        </w:tc>
        <w:tc>
          <w:tcPr>
            <w:tcW w:w="1582" w:type="pct"/>
            <w:gridSpan w:val="2"/>
            <w:tcMar>
              <w:top w:w="0" w:type="dxa"/>
              <w:left w:w="0" w:type="dxa"/>
              <w:right w:w="0" w:type="dxa"/>
            </w:tcMar>
            <w:vAlign w:val="center"/>
          </w:tcPr>
          <w:p w14:paraId="2ADE2C58">
            <w:pPr>
              <w:snapToGrid w:val="0"/>
              <w:jc w:val="center"/>
              <w:rPr>
                <w:rFonts w:hint="eastAsia" w:hAnsi="宋体"/>
                <w:color w:val="auto"/>
                <w:sz w:val="21"/>
                <w:szCs w:val="21"/>
              </w:rPr>
            </w:pPr>
            <w:r>
              <w:rPr>
                <w:rFonts w:hint="eastAsia" w:hAnsi="宋体"/>
                <w:color w:val="auto"/>
                <w:sz w:val="21"/>
                <w:szCs w:val="21"/>
              </w:rPr>
              <w:t>频率范围</w:t>
            </w:r>
          </w:p>
        </w:tc>
        <w:tc>
          <w:tcPr>
            <w:tcW w:w="1500" w:type="pct"/>
            <w:tcMar>
              <w:top w:w="0" w:type="dxa"/>
              <w:left w:w="0" w:type="dxa"/>
              <w:right w:w="0" w:type="dxa"/>
            </w:tcMar>
            <w:vAlign w:val="center"/>
          </w:tcPr>
          <w:p w14:paraId="2857EDC2">
            <w:pPr>
              <w:snapToGrid w:val="0"/>
              <w:jc w:val="center"/>
              <w:rPr>
                <w:rFonts w:hint="eastAsia" w:hAnsi="宋体"/>
                <w:color w:val="auto"/>
                <w:sz w:val="21"/>
                <w:szCs w:val="21"/>
              </w:rPr>
            </w:pPr>
            <w:r>
              <w:rPr>
                <w:rFonts w:hint="eastAsia" w:hAnsi="宋体"/>
                <w:color w:val="auto"/>
                <w:sz w:val="21"/>
                <w:szCs w:val="21"/>
              </w:rPr>
              <w:t>403</w:t>
            </w:r>
            <w:r>
              <w:rPr>
                <w:rFonts w:hint="eastAsia" w:ascii="宋体" w:hAnsi="宋体"/>
                <w:color w:val="auto"/>
                <w:sz w:val="21"/>
                <w:szCs w:val="21"/>
              </w:rPr>
              <w:t>～</w:t>
            </w:r>
            <w:r>
              <w:rPr>
                <w:rFonts w:hint="eastAsia" w:hAnsi="宋体"/>
                <w:color w:val="auto"/>
                <w:sz w:val="21"/>
                <w:szCs w:val="21"/>
              </w:rPr>
              <w:t>423.5MHz</w:t>
            </w:r>
          </w:p>
        </w:tc>
        <w:tc>
          <w:tcPr>
            <w:tcW w:w="1397" w:type="pct"/>
            <w:tcMar>
              <w:top w:w="0" w:type="dxa"/>
              <w:left w:w="0" w:type="dxa"/>
              <w:right w:w="0" w:type="dxa"/>
            </w:tcMar>
            <w:vAlign w:val="center"/>
          </w:tcPr>
          <w:p w14:paraId="5048F162">
            <w:pPr>
              <w:snapToGrid w:val="0"/>
              <w:jc w:val="center"/>
              <w:rPr>
                <w:rFonts w:hint="eastAsia" w:hAnsi="宋体"/>
                <w:color w:val="auto"/>
                <w:sz w:val="21"/>
                <w:szCs w:val="21"/>
              </w:rPr>
            </w:pPr>
            <w:r>
              <w:rPr>
                <w:rFonts w:hint="eastAsia" w:hAnsi="宋体"/>
                <w:color w:val="auto"/>
                <w:sz w:val="21"/>
                <w:szCs w:val="21"/>
              </w:rPr>
              <w:t>403</w:t>
            </w:r>
            <w:r>
              <w:rPr>
                <w:rFonts w:hint="eastAsia" w:ascii="宋体" w:hAnsi="宋体"/>
                <w:color w:val="auto"/>
                <w:sz w:val="21"/>
                <w:szCs w:val="21"/>
              </w:rPr>
              <w:t>～</w:t>
            </w:r>
            <w:r>
              <w:rPr>
                <w:rFonts w:hint="eastAsia" w:hAnsi="宋体"/>
                <w:color w:val="auto"/>
                <w:sz w:val="21"/>
                <w:szCs w:val="21"/>
              </w:rPr>
              <w:t>423.5MHz</w:t>
            </w:r>
          </w:p>
        </w:tc>
      </w:tr>
      <w:tr w14:paraId="44A9D7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tcMar>
              <w:top w:w="0" w:type="dxa"/>
              <w:left w:w="0" w:type="dxa"/>
              <w:right w:w="0" w:type="dxa"/>
            </w:tcMar>
            <w:vAlign w:val="center"/>
          </w:tcPr>
          <w:p w14:paraId="3F5B7F8E">
            <w:pPr>
              <w:snapToGrid w:val="0"/>
              <w:jc w:val="center"/>
              <w:rPr>
                <w:rFonts w:hint="eastAsia" w:hAnsi="宋体"/>
                <w:color w:val="auto"/>
                <w:sz w:val="21"/>
                <w:szCs w:val="21"/>
              </w:rPr>
            </w:pPr>
            <w:r>
              <w:rPr>
                <w:rFonts w:hint="eastAsia" w:hAnsi="宋体"/>
                <w:color w:val="auto"/>
                <w:sz w:val="21"/>
                <w:szCs w:val="21"/>
              </w:rPr>
              <w:t>2</w:t>
            </w:r>
          </w:p>
        </w:tc>
        <w:tc>
          <w:tcPr>
            <w:tcW w:w="1582" w:type="pct"/>
            <w:gridSpan w:val="2"/>
            <w:tcMar>
              <w:top w:w="0" w:type="dxa"/>
              <w:left w:w="0" w:type="dxa"/>
              <w:right w:w="0" w:type="dxa"/>
            </w:tcMar>
            <w:vAlign w:val="center"/>
          </w:tcPr>
          <w:p w14:paraId="3439483F">
            <w:pPr>
              <w:snapToGrid w:val="0"/>
              <w:jc w:val="center"/>
              <w:rPr>
                <w:rFonts w:hint="eastAsia" w:hAnsi="宋体"/>
                <w:color w:val="auto"/>
                <w:sz w:val="21"/>
                <w:szCs w:val="21"/>
              </w:rPr>
            </w:pPr>
            <w:r>
              <w:rPr>
                <w:rFonts w:hint="eastAsia" w:hAnsi="宋体"/>
                <w:color w:val="auto"/>
                <w:sz w:val="21"/>
                <w:szCs w:val="21"/>
              </w:rPr>
              <w:t>带宽</w:t>
            </w:r>
          </w:p>
        </w:tc>
        <w:tc>
          <w:tcPr>
            <w:tcW w:w="2897" w:type="pct"/>
            <w:gridSpan w:val="2"/>
            <w:tcMar>
              <w:top w:w="0" w:type="dxa"/>
              <w:left w:w="0" w:type="dxa"/>
              <w:right w:w="0" w:type="dxa"/>
            </w:tcMar>
            <w:vAlign w:val="center"/>
          </w:tcPr>
          <w:p w14:paraId="149574AD">
            <w:pPr>
              <w:snapToGrid w:val="0"/>
              <w:jc w:val="center"/>
              <w:rPr>
                <w:rFonts w:hint="eastAsia" w:hAnsi="宋体"/>
                <w:color w:val="auto"/>
                <w:sz w:val="21"/>
                <w:szCs w:val="21"/>
              </w:rPr>
            </w:pPr>
            <w:r>
              <w:rPr>
                <w:rFonts w:hint="eastAsia" w:hAnsi="宋体"/>
                <w:color w:val="auto"/>
                <w:sz w:val="21"/>
                <w:szCs w:val="21"/>
              </w:rPr>
              <w:t>2MHz</w:t>
            </w:r>
          </w:p>
        </w:tc>
      </w:tr>
      <w:tr w14:paraId="6E5FE0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tcMar>
              <w:top w:w="0" w:type="dxa"/>
              <w:left w:w="0" w:type="dxa"/>
              <w:right w:w="0" w:type="dxa"/>
            </w:tcMar>
            <w:vAlign w:val="center"/>
          </w:tcPr>
          <w:p w14:paraId="42CBB412">
            <w:pPr>
              <w:snapToGrid w:val="0"/>
              <w:jc w:val="center"/>
              <w:rPr>
                <w:rFonts w:hint="eastAsia" w:hAnsi="宋体"/>
                <w:color w:val="auto"/>
                <w:sz w:val="21"/>
                <w:szCs w:val="21"/>
              </w:rPr>
            </w:pPr>
            <w:r>
              <w:rPr>
                <w:rFonts w:hint="eastAsia" w:hAnsi="宋体"/>
                <w:color w:val="auto"/>
                <w:sz w:val="21"/>
                <w:szCs w:val="21"/>
              </w:rPr>
              <w:t>3</w:t>
            </w:r>
          </w:p>
        </w:tc>
        <w:tc>
          <w:tcPr>
            <w:tcW w:w="1582" w:type="pct"/>
            <w:gridSpan w:val="2"/>
            <w:tcMar>
              <w:top w:w="0" w:type="dxa"/>
              <w:left w:w="0" w:type="dxa"/>
              <w:right w:w="0" w:type="dxa"/>
            </w:tcMar>
            <w:vAlign w:val="center"/>
          </w:tcPr>
          <w:p w14:paraId="1BC7EE82">
            <w:pPr>
              <w:snapToGrid w:val="0"/>
              <w:jc w:val="center"/>
              <w:rPr>
                <w:rFonts w:hint="eastAsia" w:hAnsi="宋体"/>
                <w:color w:val="auto"/>
                <w:sz w:val="21"/>
                <w:szCs w:val="21"/>
              </w:rPr>
            </w:pPr>
            <w:r>
              <w:rPr>
                <w:rFonts w:hint="eastAsia" w:hAnsi="宋体"/>
                <w:color w:val="auto"/>
                <w:sz w:val="21"/>
                <w:szCs w:val="21"/>
              </w:rPr>
              <w:t>射频输出功率</w:t>
            </w:r>
          </w:p>
        </w:tc>
        <w:tc>
          <w:tcPr>
            <w:tcW w:w="1500" w:type="pct"/>
            <w:tcMar>
              <w:top w:w="0" w:type="dxa"/>
              <w:left w:w="0" w:type="dxa"/>
              <w:right w:w="0" w:type="dxa"/>
            </w:tcMar>
            <w:vAlign w:val="center"/>
          </w:tcPr>
          <w:p w14:paraId="6015AE24">
            <w:pPr>
              <w:snapToGrid w:val="0"/>
              <w:jc w:val="center"/>
              <w:rPr>
                <w:rFonts w:hint="eastAsia" w:hAnsi="宋体"/>
                <w:color w:val="auto"/>
                <w:sz w:val="21"/>
                <w:szCs w:val="21"/>
              </w:rPr>
            </w:pPr>
            <w:r>
              <w:rPr>
                <w:rFonts w:hint="eastAsia" w:hAnsi="宋体"/>
                <w:color w:val="auto"/>
                <w:sz w:val="21"/>
                <w:szCs w:val="21"/>
              </w:rPr>
              <w:t>0dBm</w:t>
            </w:r>
            <w:r>
              <w:rPr>
                <w:rFonts w:hint="eastAsia" w:ascii="宋体" w:hAnsi="宋体"/>
                <w:color w:val="auto"/>
                <w:sz w:val="21"/>
                <w:szCs w:val="21"/>
              </w:rPr>
              <w:t>±</w:t>
            </w:r>
            <w:r>
              <w:rPr>
                <w:rFonts w:hint="eastAsia" w:hAnsi="宋体"/>
                <w:color w:val="auto"/>
                <w:sz w:val="21"/>
                <w:szCs w:val="21"/>
              </w:rPr>
              <w:t>1</w:t>
            </w:r>
          </w:p>
        </w:tc>
        <w:tc>
          <w:tcPr>
            <w:tcW w:w="1397" w:type="pct"/>
            <w:tcMar>
              <w:top w:w="0" w:type="dxa"/>
              <w:left w:w="0" w:type="dxa"/>
              <w:right w:w="0" w:type="dxa"/>
            </w:tcMar>
            <w:vAlign w:val="center"/>
          </w:tcPr>
          <w:p w14:paraId="3AC68EC5">
            <w:pPr>
              <w:snapToGrid w:val="0"/>
              <w:jc w:val="center"/>
              <w:rPr>
                <w:rFonts w:hint="eastAsia" w:hAnsi="宋体"/>
                <w:color w:val="auto"/>
                <w:sz w:val="21"/>
                <w:szCs w:val="21"/>
              </w:rPr>
            </w:pPr>
            <w:r>
              <w:rPr>
                <w:rFonts w:hint="eastAsia" w:hAnsi="宋体"/>
                <w:color w:val="auto"/>
                <w:sz w:val="21"/>
                <w:szCs w:val="21"/>
              </w:rPr>
              <w:t>37dBm</w:t>
            </w:r>
            <w:r>
              <w:rPr>
                <w:rFonts w:hint="eastAsia" w:ascii="宋体" w:hAnsi="宋体"/>
                <w:color w:val="auto"/>
                <w:sz w:val="21"/>
                <w:szCs w:val="21"/>
              </w:rPr>
              <w:t>±</w:t>
            </w:r>
            <w:r>
              <w:rPr>
                <w:rFonts w:hint="eastAsia" w:hAnsi="宋体"/>
                <w:color w:val="auto"/>
                <w:sz w:val="21"/>
                <w:szCs w:val="21"/>
              </w:rPr>
              <w:t>1</w:t>
            </w:r>
          </w:p>
        </w:tc>
      </w:tr>
      <w:tr w14:paraId="7E2062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tcMar>
              <w:top w:w="0" w:type="dxa"/>
              <w:left w:w="0" w:type="dxa"/>
              <w:right w:w="0" w:type="dxa"/>
            </w:tcMar>
            <w:vAlign w:val="center"/>
          </w:tcPr>
          <w:p w14:paraId="6F318CA9">
            <w:pPr>
              <w:snapToGrid w:val="0"/>
              <w:jc w:val="center"/>
              <w:rPr>
                <w:rFonts w:hint="eastAsia" w:hAnsi="宋体"/>
                <w:color w:val="auto"/>
                <w:sz w:val="21"/>
                <w:szCs w:val="21"/>
              </w:rPr>
            </w:pPr>
            <w:r>
              <w:rPr>
                <w:rFonts w:hint="eastAsia" w:hAnsi="宋体"/>
                <w:color w:val="auto"/>
                <w:sz w:val="21"/>
                <w:szCs w:val="21"/>
              </w:rPr>
              <w:t>4</w:t>
            </w:r>
          </w:p>
        </w:tc>
        <w:tc>
          <w:tcPr>
            <w:tcW w:w="1582" w:type="pct"/>
            <w:gridSpan w:val="2"/>
            <w:tcMar>
              <w:top w:w="0" w:type="dxa"/>
              <w:left w:w="0" w:type="dxa"/>
              <w:right w:w="0" w:type="dxa"/>
            </w:tcMar>
            <w:vAlign w:val="center"/>
          </w:tcPr>
          <w:p w14:paraId="5AEE324B">
            <w:pPr>
              <w:snapToGrid w:val="0"/>
              <w:jc w:val="center"/>
              <w:rPr>
                <w:rFonts w:hint="eastAsia" w:hAnsi="宋体"/>
                <w:color w:val="auto"/>
                <w:sz w:val="21"/>
                <w:szCs w:val="21"/>
              </w:rPr>
            </w:pPr>
            <w:r>
              <w:rPr>
                <w:rFonts w:hint="eastAsia" w:hAnsi="宋体"/>
                <w:color w:val="auto"/>
                <w:sz w:val="21"/>
                <w:szCs w:val="21"/>
              </w:rPr>
              <w:t>最大增益</w:t>
            </w:r>
          </w:p>
        </w:tc>
        <w:tc>
          <w:tcPr>
            <w:tcW w:w="1500" w:type="pct"/>
            <w:tcMar>
              <w:top w:w="0" w:type="dxa"/>
              <w:left w:w="0" w:type="dxa"/>
              <w:right w:w="0" w:type="dxa"/>
            </w:tcMar>
            <w:vAlign w:val="center"/>
          </w:tcPr>
          <w:p w14:paraId="7F0C4DAB">
            <w:pPr>
              <w:snapToGrid w:val="0"/>
              <w:jc w:val="center"/>
              <w:rPr>
                <w:rFonts w:hint="eastAsia" w:hAnsi="宋体"/>
                <w:color w:val="auto"/>
                <w:sz w:val="21"/>
                <w:szCs w:val="21"/>
              </w:rPr>
            </w:pPr>
            <w:r>
              <w:rPr>
                <w:rFonts w:hint="eastAsia" w:hAnsi="宋体"/>
                <w:color w:val="auto"/>
                <w:sz w:val="21"/>
                <w:szCs w:val="21"/>
              </w:rPr>
              <w:t>45dB</w:t>
            </w:r>
            <w:r>
              <w:rPr>
                <w:rFonts w:hint="eastAsia" w:ascii="宋体" w:hAnsi="宋体"/>
                <w:color w:val="auto"/>
                <w:sz w:val="21"/>
                <w:szCs w:val="21"/>
              </w:rPr>
              <w:t>±</w:t>
            </w:r>
            <w:r>
              <w:rPr>
                <w:rFonts w:hint="eastAsia" w:hAnsi="宋体"/>
                <w:color w:val="auto"/>
                <w:sz w:val="21"/>
                <w:szCs w:val="21"/>
              </w:rPr>
              <w:t>1.5dB</w:t>
            </w:r>
          </w:p>
        </w:tc>
        <w:tc>
          <w:tcPr>
            <w:tcW w:w="1397" w:type="pct"/>
            <w:tcMar>
              <w:top w:w="0" w:type="dxa"/>
              <w:left w:w="0" w:type="dxa"/>
              <w:right w:w="0" w:type="dxa"/>
            </w:tcMar>
            <w:vAlign w:val="center"/>
          </w:tcPr>
          <w:p w14:paraId="160CA4F1">
            <w:pPr>
              <w:snapToGrid w:val="0"/>
              <w:jc w:val="center"/>
              <w:rPr>
                <w:rFonts w:hint="eastAsia" w:hAnsi="宋体"/>
                <w:color w:val="auto"/>
                <w:sz w:val="21"/>
                <w:szCs w:val="21"/>
              </w:rPr>
            </w:pPr>
            <w:r>
              <w:rPr>
                <w:rFonts w:hint="eastAsia" w:hAnsi="宋体"/>
                <w:color w:val="auto"/>
                <w:sz w:val="21"/>
                <w:szCs w:val="21"/>
              </w:rPr>
              <w:t>45dB</w:t>
            </w:r>
            <w:r>
              <w:rPr>
                <w:rFonts w:hint="eastAsia" w:ascii="宋体" w:hAnsi="宋体"/>
                <w:color w:val="auto"/>
                <w:sz w:val="21"/>
                <w:szCs w:val="21"/>
              </w:rPr>
              <w:t>±</w:t>
            </w:r>
            <w:r>
              <w:rPr>
                <w:rFonts w:hint="eastAsia" w:hAnsi="宋体"/>
                <w:color w:val="auto"/>
                <w:sz w:val="21"/>
                <w:szCs w:val="21"/>
              </w:rPr>
              <w:t>1.5dB</w:t>
            </w:r>
          </w:p>
        </w:tc>
      </w:tr>
      <w:tr w14:paraId="10C1DF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tcMar>
              <w:top w:w="0" w:type="dxa"/>
              <w:left w:w="0" w:type="dxa"/>
              <w:right w:w="0" w:type="dxa"/>
            </w:tcMar>
            <w:vAlign w:val="center"/>
          </w:tcPr>
          <w:p w14:paraId="3B8012D6">
            <w:pPr>
              <w:snapToGrid w:val="0"/>
              <w:jc w:val="center"/>
              <w:rPr>
                <w:rFonts w:hint="eastAsia" w:hAnsi="宋体"/>
                <w:color w:val="auto"/>
                <w:sz w:val="21"/>
                <w:szCs w:val="21"/>
              </w:rPr>
            </w:pPr>
            <w:r>
              <w:rPr>
                <w:rFonts w:hint="eastAsia" w:hAnsi="宋体"/>
                <w:color w:val="auto"/>
                <w:sz w:val="21"/>
                <w:szCs w:val="21"/>
              </w:rPr>
              <w:t>5</w:t>
            </w:r>
          </w:p>
        </w:tc>
        <w:tc>
          <w:tcPr>
            <w:tcW w:w="1582" w:type="pct"/>
            <w:gridSpan w:val="2"/>
            <w:tcMar>
              <w:top w:w="0" w:type="dxa"/>
              <w:left w:w="0" w:type="dxa"/>
              <w:right w:w="0" w:type="dxa"/>
            </w:tcMar>
            <w:vAlign w:val="center"/>
          </w:tcPr>
          <w:p w14:paraId="3B5F7595">
            <w:pPr>
              <w:snapToGrid w:val="0"/>
              <w:jc w:val="center"/>
              <w:rPr>
                <w:rFonts w:hint="eastAsia" w:hAnsi="宋体"/>
                <w:color w:val="auto"/>
                <w:sz w:val="21"/>
                <w:szCs w:val="21"/>
              </w:rPr>
            </w:pPr>
            <w:r>
              <w:rPr>
                <w:rFonts w:hint="eastAsia" w:hAnsi="宋体"/>
                <w:color w:val="auto"/>
                <w:sz w:val="21"/>
                <w:szCs w:val="21"/>
              </w:rPr>
              <w:t>ALC控制范围</w:t>
            </w:r>
          </w:p>
        </w:tc>
        <w:tc>
          <w:tcPr>
            <w:tcW w:w="2897" w:type="pct"/>
            <w:gridSpan w:val="2"/>
            <w:tcMar>
              <w:top w:w="0" w:type="dxa"/>
              <w:left w:w="0" w:type="dxa"/>
              <w:right w:w="0" w:type="dxa"/>
            </w:tcMar>
            <w:vAlign w:val="center"/>
          </w:tcPr>
          <w:p w14:paraId="582EA6CD">
            <w:pPr>
              <w:snapToGrid w:val="0"/>
              <w:jc w:val="center"/>
              <w:rPr>
                <w:rFonts w:hint="eastAsia" w:hAnsi="宋体"/>
                <w:color w:val="auto"/>
                <w:sz w:val="21"/>
                <w:szCs w:val="21"/>
              </w:rPr>
            </w:pPr>
            <w:r>
              <w:rPr>
                <w:rFonts w:hint="eastAsia" w:hAnsi="宋体"/>
                <w:color w:val="auto"/>
                <w:sz w:val="21"/>
                <w:szCs w:val="21"/>
              </w:rPr>
              <w:t>20dB</w:t>
            </w:r>
          </w:p>
        </w:tc>
      </w:tr>
      <w:tr w14:paraId="5A1A73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tcMar>
              <w:top w:w="0" w:type="dxa"/>
              <w:left w:w="0" w:type="dxa"/>
              <w:right w:w="0" w:type="dxa"/>
            </w:tcMar>
            <w:vAlign w:val="center"/>
          </w:tcPr>
          <w:p w14:paraId="78B5EF82">
            <w:pPr>
              <w:snapToGrid w:val="0"/>
              <w:jc w:val="center"/>
              <w:rPr>
                <w:rFonts w:hint="eastAsia" w:hAnsi="宋体"/>
                <w:color w:val="auto"/>
                <w:sz w:val="21"/>
                <w:szCs w:val="21"/>
              </w:rPr>
            </w:pPr>
            <w:r>
              <w:rPr>
                <w:rFonts w:hint="eastAsia" w:hAnsi="宋体"/>
                <w:color w:val="auto"/>
                <w:sz w:val="21"/>
                <w:szCs w:val="21"/>
              </w:rPr>
              <w:t>6</w:t>
            </w:r>
          </w:p>
        </w:tc>
        <w:tc>
          <w:tcPr>
            <w:tcW w:w="1582" w:type="pct"/>
            <w:gridSpan w:val="2"/>
            <w:tcMar>
              <w:top w:w="0" w:type="dxa"/>
              <w:left w:w="0" w:type="dxa"/>
              <w:right w:w="0" w:type="dxa"/>
            </w:tcMar>
            <w:vAlign w:val="center"/>
          </w:tcPr>
          <w:p w14:paraId="76B24057">
            <w:pPr>
              <w:snapToGrid w:val="0"/>
              <w:jc w:val="center"/>
              <w:rPr>
                <w:rFonts w:hint="eastAsia" w:hAnsi="宋体"/>
                <w:color w:val="auto"/>
                <w:sz w:val="21"/>
                <w:szCs w:val="21"/>
              </w:rPr>
            </w:pPr>
            <w:r>
              <w:rPr>
                <w:rFonts w:hint="eastAsia" w:hAnsi="宋体"/>
                <w:color w:val="auto"/>
                <w:sz w:val="21"/>
                <w:szCs w:val="21"/>
              </w:rPr>
              <w:t>增益调节范围及步进</w:t>
            </w:r>
          </w:p>
        </w:tc>
        <w:tc>
          <w:tcPr>
            <w:tcW w:w="2897" w:type="pct"/>
            <w:gridSpan w:val="2"/>
            <w:tcMar>
              <w:top w:w="0" w:type="dxa"/>
              <w:left w:w="0" w:type="dxa"/>
              <w:right w:w="0" w:type="dxa"/>
            </w:tcMar>
            <w:vAlign w:val="center"/>
          </w:tcPr>
          <w:p w14:paraId="2F5B3C06">
            <w:pPr>
              <w:snapToGrid w:val="0"/>
              <w:jc w:val="center"/>
              <w:rPr>
                <w:rFonts w:hint="eastAsia" w:hAnsi="宋体"/>
                <w:color w:val="auto"/>
                <w:sz w:val="21"/>
                <w:szCs w:val="21"/>
              </w:rPr>
            </w:pPr>
            <w:r>
              <w:rPr>
                <w:rFonts w:hint="eastAsia" w:hAnsi="宋体"/>
                <w:color w:val="auto"/>
                <w:sz w:val="21"/>
                <w:szCs w:val="21"/>
              </w:rPr>
              <w:t>30dB，1dB Step</w:t>
            </w:r>
          </w:p>
        </w:tc>
      </w:tr>
      <w:tr w14:paraId="15BC93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tcMar>
              <w:top w:w="0" w:type="dxa"/>
              <w:left w:w="0" w:type="dxa"/>
              <w:right w:w="0" w:type="dxa"/>
            </w:tcMar>
            <w:vAlign w:val="center"/>
          </w:tcPr>
          <w:p w14:paraId="43D71764">
            <w:pPr>
              <w:snapToGrid w:val="0"/>
              <w:jc w:val="center"/>
              <w:rPr>
                <w:rFonts w:hint="eastAsia" w:hAnsi="宋体"/>
                <w:color w:val="auto"/>
                <w:sz w:val="21"/>
                <w:szCs w:val="21"/>
              </w:rPr>
            </w:pPr>
            <w:r>
              <w:rPr>
                <w:rFonts w:hint="eastAsia" w:hAnsi="宋体"/>
                <w:color w:val="auto"/>
                <w:sz w:val="21"/>
                <w:szCs w:val="21"/>
              </w:rPr>
              <w:t>7</w:t>
            </w:r>
          </w:p>
        </w:tc>
        <w:tc>
          <w:tcPr>
            <w:tcW w:w="1582" w:type="pct"/>
            <w:gridSpan w:val="2"/>
            <w:tcMar>
              <w:top w:w="0" w:type="dxa"/>
              <w:left w:w="0" w:type="dxa"/>
              <w:right w:w="0" w:type="dxa"/>
            </w:tcMar>
            <w:vAlign w:val="center"/>
          </w:tcPr>
          <w:p w14:paraId="2DA9293A">
            <w:pPr>
              <w:snapToGrid w:val="0"/>
              <w:jc w:val="center"/>
              <w:rPr>
                <w:rFonts w:hint="eastAsia" w:hAnsi="宋体"/>
                <w:color w:val="auto"/>
                <w:sz w:val="21"/>
                <w:szCs w:val="21"/>
              </w:rPr>
            </w:pPr>
            <w:r>
              <w:rPr>
                <w:rFonts w:hint="eastAsia" w:hAnsi="宋体"/>
                <w:color w:val="auto"/>
                <w:sz w:val="21"/>
                <w:szCs w:val="21"/>
              </w:rPr>
              <w:t>噪声系数</w:t>
            </w:r>
          </w:p>
        </w:tc>
        <w:tc>
          <w:tcPr>
            <w:tcW w:w="1500" w:type="pct"/>
            <w:tcMar>
              <w:top w:w="0" w:type="dxa"/>
              <w:left w:w="0" w:type="dxa"/>
              <w:right w:w="0" w:type="dxa"/>
            </w:tcMar>
            <w:vAlign w:val="center"/>
          </w:tcPr>
          <w:p w14:paraId="4D9F5E00">
            <w:pPr>
              <w:snapToGrid w:val="0"/>
              <w:jc w:val="center"/>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3.5dB</w:t>
            </w:r>
          </w:p>
        </w:tc>
        <w:tc>
          <w:tcPr>
            <w:tcW w:w="1397" w:type="pct"/>
            <w:tcMar>
              <w:top w:w="0" w:type="dxa"/>
              <w:left w:w="0" w:type="dxa"/>
              <w:right w:w="0" w:type="dxa"/>
            </w:tcMar>
            <w:vAlign w:val="center"/>
          </w:tcPr>
          <w:p w14:paraId="75E60E39">
            <w:pPr>
              <w:snapToGrid w:val="0"/>
              <w:jc w:val="center"/>
              <w:rPr>
                <w:rFonts w:hint="eastAsia" w:hAnsi="宋体"/>
                <w:color w:val="auto"/>
                <w:sz w:val="21"/>
                <w:szCs w:val="21"/>
              </w:rPr>
            </w:pPr>
            <w:r>
              <w:rPr>
                <w:rFonts w:hint="eastAsia" w:hAnsi="宋体"/>
                <w:color w:val="auto"/>
                <w:sz w:val="21"/>
                <w:szCs w:val="21"/>
              </w:rPr>
              <w:t>--</w:t>
            </w:r>
          </w:p>
        </w:tc>
      </w:tr>
      <w:tr w14:paraId="399E41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tcMar>
              <w:top w:w="0" w:type="dxa"/>
              <w:left w:w="0" w:type="dxa"/>
              <w:right w:w="0" w:type="dxa"/>
            </w:tcMar>
            <w:vAlign w:val="center"/>
          </w:tcPr>
          <w:p w14:paraId="7E8492D6">
            <w:pPr>
              <w:snapToGrid w:val="0"/>
              <w:jc w:val="center"/>
              <w:rPr>
                <w:rFonts w:hint="eastAsia" w:hAnsi="宋体"/>
                <w:color w:val="auto"/>
                <w:sz w:val="21"/>
                <w:szCs w:val="21"/>
              </w:rPr>
            </w:pPr>
            <w:r>
              <w:rPr>
                <w:rFonts w:hint="eastAsia" w:hAnsi="宋体"/>
                <w:color w:val="auto"/>
                <w:sz w:val="21"/>
                <w:szCs w:val="21"/>
              </w:rPr>
              <w:t>8</w:t>
            </w:r>
          </w:p>
        </w:tc>
        <w:tc>
          <w:tcPr>
            <w:tcW w:w="1582" w:type="pct"/>
            <w:gridSpan w:val="2"/>
            <w:tcMar>
              <w:top w:w="0" w:type="dxa"/>
              <w:left w:w="0" w:type="dxa"/>
              <w:right w:w="0" w:type="dxa"/>
            </w:tcMar>
            <w:vAlign w:val="center"/>
          </w:tcPr>
          <w:p w14:paraId="3F021979">
            <w:pPr>
              <w:snapToGrid w:val="0"/>
              <w:jc w:val="center"/>
              <w:rPr>
                <w:rFonts w:hint="eastAsia" w:hAnsi="宋体"/>
                <w:color w:val="auto"/>
                <w:sz w:val="21"/>
                <w:szCs w:val="21"/>
              </w:rPr>
            </w:pPr>
            <w:r>
              <w:rPr>
                <w:rFonts w:hint="eastAsia" w:hAnsi="宋体"/>
                <w:color w:val="auto"/>
                <w:sz w:val="21"/>
                <w:szCs w:val="21"/>
              </w:rPr>
              <w:t>系统时延</w:t>
            </w:r>
          </w:p>
        </w:tc>
        <w:tc>
          <w:tcPr>
            <w:tcW w:w="2897" w:type="pct"/>
            <w:gridSpan w:val="2"/>
            <w:tcMar>
              <w:top w:w="0" w:type="dxa"/>
              <w:left w:w="0" w:type="dxa"/>
              <w:right w:w="0" w:type="dxa"/>
            </w:tcMar>
            <w:vAlign w:val="center"/>
          </w:tcPr>
          <w:p w14:paraId="4E980901">
            <w:pPr>
              <w:snapToGrid w:val="0"/>
              <w:jc w:val="center"/>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3us</w:t>
            </w:r>
          </w:p>
        </w:tc>
      </w:tr>
      <w:tr w14:paraId="199623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tcMar>
              <w:top w:w="0" w:type="dxa"/>
              <w:left w:w="0" w:type="dxa"/>
              <w:right w:w="0" w:type="dxa"/>
            </w:tcMar>
            <w:vAlign w:val="center"/>
          </w:tcPr>
          <w:p w14:paraId="0739546C">
            <w:pPr>
              <w:snapToGrid w:val="0"/>
              <w:jc w:val="center"/>
              <w:rPr>
                <w:rFonts w:hint="eastAsia" w:hAnsi="宋体"/>
                <w:color w:val="auto"/>
                <w:sz w:val="21"/>
                <w:szCs w:val="21"/>
              </w:rPr>
            </w:pPr>
            <w:r>
              <w:rPr>
                <w:rFonts w:hint="eastAsia" w:hAnsi="宋体"/>
                <w:color w:val="auto"/>
                <w:sz w:val="21"/>
                <w:szCs w:val="21"/>
              </w:rPr>
              <w:t>9</w:t>
            </w:r>
          </w:p>
        </w:tc>
        <w:tc>
          <w:tcPr>
            <w:tcW w:w="1582" w:type="pct"/>
            <w:gridSpan w:val="2"/>
            <w:tcMar>
              <w:top w:w="0" w:type="dxa"/>
              <w:left w:w="0" w:type="dxa"/>
              <w:right w:w="0" w:type="dxa"/>
            </w:tcMar>
            <w:vAlign w:val="center"/>
          </w:tcPr>
          <w:p w14:paraId="3D685A7F">
            <w:pPr>
              <w:snapToGrid w:val="0"/>
              <w:jc w:val="center"/>
              <w:rPr>
                <w:rFonts w:hint="eastAsia" w:hAnsi="宋体"/>
                <w:color w:val="auto"/>
                <w:sz w:val="21"/>
                <w:szCs w:val="21"/>
              </w:rPr>
            </w:pPr>
            <w:r>
              <w:rPr>
                <w:rFonts w:hint="eastAsia" w:hAnsi="宋体"/>
                <w:color w:val="auto"/>
                <w:sz w:val="21"/>
                <w:szCs w:val="21"/>
              </w:rPr>
              <w:t>带内波动</w:t>
            </w:r>
          </w:p>
        </w:tc>
        <w:tc>
          <w:tcPr>
            <w:tcW w:w="2897" w:type="pct"/>
            <w:gridSpan w:val="2"/>
            <w:tcMar>
              <w:top w:w="0" w:type="dxa"/>
              <w:left w:w="0" w:type="dxa"/>
              <w:right w:w="0" w:type="dxa"/>
            </w:tcMar>
            <w:vAlign w:val="center"/>
          </w:tcPr>
          <w:p w14:paraId="67649ADE">
            <w:pPr>
              <w:snapToGrid w:val="0"/>
              <w:jc w:val="center"/>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3dB</w:t>
            </w:r>
          </w:p>
        </w:tc>
      </w:tr>
      <w:tr w14:paraId="04D096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tcMar>
              <w:top w:w="0" w:type="dxa"/>
              <w:left w:w="0" w:type="dxa"/>
              <w:right w:w="0" w:type="dxa"/>
            </w:tcMar>
            <w:vAlign w:val="center"/>
          </w:tcPr>
          <w:p w14:paraId="2FE05C1B">
            <w:pPr>
              <w:snapToGrid w:val="0"/>
              <w:jc w:val="center"/>
              <w:rPr>
                <w:rFonts w:hint="eastAsia" w:hAnsi="宋体"/>
                <w:color w:val="auto"/>
                <w:sz w:val="21"/>
                <w:szCs w:val="21"/>
              </w:rPr>
            </w:pPr>
            <w:r>
              <w:rPr>
                <w:rFonts w:hint="eastAsia" w:hAnsi="宋体"/>
                <w:color w:val="auto"/>
                <w:sz w:val="21"/>
                <w:szCs w:val="21"/>
              </w:rPr>
              <w:t>10</w:t>
            </w:r>
          </w:p>
        </w:tc>
        <w:tc>
          <w:tcPr>
            <w:tcW w:w="1582" w:type="pct"/>
            <w:gridSpan w:val="2"/>
            <w:tcMar>
              <w:top w:w="0" w:type="dxa"/>
              <w:left w:w="0" w:type="dxa"/>
              <w:right w:w="0" w:type="dxa"/>
            </w:tcMar>
            <w:vAlign w:val="center"/>
          </w:tcPr>
          <w:p w14:paraId="4D3A4223">
            <w:pPr>
              <w:snapToGrid w:val="0"/>
              <w:jc w:val="center"/>
              <w:rPr>
                <w:rFonts w:hint="eastAsia" w:hAnsi="宋体"/>
                <w:color w:val="auto"/>
                <w:sz w:val="21"/>
                <w:szCs w:val="21"/>
              </w:rPr>
            </w:pPr>
            <w:r>
              <w:rPr>
                <w:rFonts w:hint="eastAsia" w:hAnsi="宋体"/>
                <w:color w:val="auto"/>
                <w:sz w:val="21"/>
                <w:szCs w:val="21"/>
              </w:rPr>
              <w:t>互调衰减</w:t>
            </w:r>
          </w:p>
        </w:tc>
        <w:tc>
          <w:tcPr>
            <w:tcW w:w="2897" w:type="pct"/>
            <w:gridSpan w:val="2"/>
            <w:tcMar>
              <w:top w:w="0" w:type="dxa"/>
              <w:left w:w="0" w:type="dxa"/>
              <w:right w:w="0" w:type="dxa"/>
            </w:tcMar>
            <w:vAlign w:val="center"/>
          </w:tcPr>
          <w:p w14:paraId="4F0819BF">
            <w:pPr>
              <w:snapToGrid w:val="0"/>
              <w:jc w:val="center"/>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45dBc</w:t>
            </w:r>
          </w:p>
        </w:tc>
      </w:tr>
      <w:tr w14:paraId="465281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tcMar>
              <w:top w:w="0" w:type="dxa"/>
              <w:left w:w="0" w:type="dxa"/>
              <w:right w:w="0" w:type="dxa"/>
            </w:tcMar>
            <w:vAlign w:val="center"/>
          </w:tcPr>
          <w:p w14:paraId="5137A9DE">
            <w:pPr>
              <w:snapToGrid w:val="0"/>
              <w:jc w:val="center"/>
              <w:rPr>
                <w:rFonts w:hint="eastAsia" w:hAnsi="宋体"/>
                <w:color w:val="auto"/>
                <w:sz w:val="21"/>
                <w:szCs w:val="21"/>
              </w:rPr>
            </w:pPr>
            <w:r>
              <w:rPr>
                <w:rFonts w:hint="eastAsia" w:hAnsi="宋体"/>
                <w:color w:val="auto"/>
                <w:sz w:val="21"/>
                <w:szCs w:val="21"/>
              </w:rPr>
              <w:t>11</w:t>
            </w:r>
          </w:p>
        </w:tc>
        <w:tc>
          <w:tcPr>
            <w:tcW w:w="1582" w:type="pct"/>
            <w:gridSpan w:val="2"/>
            <w:tcMar>
              <w:top w:w="0" w:type="dxa"/>
              <w:left w:w="0" w:type="dxa"/>
              <w:right w:w="0" w:type="dxa"/>
            </w:tcMar>
            <w:vAlign w:val="center"/>
          </w:tcPr>
          <w:p w14:paraId="5F7C9BD6">
            <w:pPr>
              <w:snapToGrid w:val="0"/>
              <w:jc w:val="center"/>
              <w:rPr>
                <w:rFonts w:hint="eastAsia" w:hAnsi="宋体"/>
                <w:color w:val="auto"/>
                <w:sz w:val="21"/>
                <w:szCs w:val="21"/>
              </w:rPr>
            </w:pPr>
            <w:r>
              <w:rPr>
                <w:rFonts w:hint="eastAsia" w:hAnsi="宋体"/>
                <w:color w:val="auto"/>
                <w:sz w:val="21"/>
                <w:szCs w:val="21"/>
              </w:rPr>
              <w:t>带外抑制</w:t>
            </w:r>
          </w:p>
        </w:tc>
        <w:tc>
          <w:tcPr>
            <w:tcW w:w="2897" w:type="pct"/>
            <w:gridSpan w:val="2"/>
            <w:tcMar>
              <w:top w:w="0" w:type="dxa"/>
              <w:left w:w="0" w:type="dxa"/>
              <w:right w:w="0" w:type="dxa"/>
            </w:tcMar>
            <w:vAlign w:val="center"/>
          </w:tcPr>
          <w:p w14:paraId="4A735A0D">
            <w:pPr>
              <w:snapToGrid w:val="0"/>
              <w:jc w:val="center"/>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40dB@带外</w:t>
            </w:r>
            <w:r>
              <w:rPr>
                <w:rFonts w:hint="eastAsia" w:ascii="宋体" w:hAnsi="宋体"/>
                <w:color w:val="auto"/>
                <w:sz w:val="21"/>
                <w:szCs w:val="21"/>
              </w:rPr>
              <w:t>±</w:t>
            </w:r>
            <w:r>
              <w:rPr>
                <w:rFonts w:hint="eastAsia" w:hAnsi="宋体"/>
                <w:color w:val="auto"/>
                <w:sz w:val="21"/>
                <w:szCs w:val="21"/>
              </w:rPr>
              <w:t>2.5MHz</w:t>
            </w:r>
          </w:p>
        </w:tc>
      </w:tr>
      <w:tr w14:paraId="571A61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vMerge w:val="restart"/>
            <w:tcMar>
              <w:top w:w="0" w:type="dxa"/>
              <w:left w:w="0" w:type="dxa"/>
              <w:right w:w="0" w:type="dxa"/>
            </w:tcMar>
            <w:vAlign w:val="center"/>
          </w:tcPr>
          <w:p w14:paraId="663E46F0">
            <w:pPr>
              <w:snapToGrid w:val="0"/>
              <w:jc w:val="center"/>
              <w:rPr>
                <w:rFonts w:hint="eastAsia" w:hAnsi="宋体"/>
                <w:color w:val="auto"/>
                <w:sz w:val="21"/>
                <w:szCs w:val="21"/>
              </w:rPr>
            </w:pPr>
            <w:r>
              <w:rPr>
                <w:rFonts w:hint="eastAsia" w:hAnsi="宋体"/>
                <w:color w:val="auto"/>
                <w:sz w:val="21"/>
                <w:szCs w:val="21"/>
              </w:rPr>
              <w:t>12</w:t>
            </w:r>
          </w:p>
        </w:tc>
        <w:tc>
          <w:tcPr>
            <w:tcW w:w="1582" w:type="pct"/>
            <w:gridSpan w:val="2"/>
            <w:vMerge w:val="restart"/>
            <w:tcMar>
              <w:top w:w="0" w:type="dxa"/>
              <w:left w:w="0" w:type="dxa"/>
              <w:right w:w="0" w:type="dxa"/>
            </w:tcMar>
            <w:vAlign w:val="center"/>
          </w:tcPr>
          <w:p w14:paraId="7E345DAB">
            <w:pPr>
              <w:snapToGrid w:val="0"/>
              <w:jc w:val="center"/>
              <w:rPr>
                <w:rFonts w:hint="eastAsia" w:hAnsi="宋体"/>
                <w:color w:val="auto"/>
                <w:sz w:val="21"/>
                <w:szCs w:val="21"/>
              </w:rPr>
            </w:pPr>
            <w:r>
              <w:rPr>
                <w:rFonts w:hint="eastAsia" w:hAnsi="宋体"/>
                <w:color w:val="auto"/>
                <w:sz w:val="21"/>
                <w:szCs w:val="21"/>
              </w:rPr>
              <w:t>杂散发射</w:t>
            </w:r>
          </w:p>
        </w:tc>
        <w:tc>
          <w:tcPr>
            <w:tcW w:w="2897" w:type="pct"/>
            <w:gridSpan w:val="2"/>
            <w:tcMar>
              <w:top w:w="0" w:type="dxa"/>
              <w:left w:w="0" w:type="dxa"/>
              <w:right w:w="0" w:type="dxa"/>
            </w:tcMar>
            <w:vAlign w:val="center"/>
          </w:tcPr>
          <w:p w14:paraId="39FA6C52">
            <w:pPr>
              <w:snapToGrid w:val="0"/>
              <w:jc w:val="center"/>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-36dBm/30KHz@9KHz</w:t>
            </w:r>
            <w:r>
              <w:rPr>
                <w:rFonts w:hint="eastAsia" w:ascii="宋体" w:hAnsi="宋体"/>
                <w:color w:val="auto"/>
                <w:sz w:val="21"/>
                <w:szCs w:val="21"/>
              </w:rPr>
              <w:t>～</w:t>
            </w:r>
            <w:r>
              <w:rPr>
                <w:rFonts w:hint="eastAsia" w:hAnsi="宋体"/>
                <w:color w:val="auto"/>
                <w:sz w:val="21"/>
                <w:szCs w:val="21"/>
              </w:rPr>
              <w:t>1GHz</w:t>
            </w:r>
          </w:p>
        </w:tc>
      </w:tr>
      <w:tr w14:paraId="6F8DB6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vMerge w:val="continue"/>
            <w:tcMar>
              <w:top w:w="0" w:type="dxa"/>
              <w:left w:w="0" w:type="dxa"/>
              <w:right w:w="0" w:type="dxa"/>
            </w:tcMar>
            <w:vAlign w:val="center"/>
          </w:tcPr>
          <w:p w14:paraId="2A23F18A">
            <w:pPr>
              <w:snapToGrid w:val="0"/>
              <w:jc w:val="center"/>
              <w:rPr>
                <w:rFonts w:hint="eastAsia" w:hAnsi="宋体"/>
                <w:color w:val="auto"/>
                <w:sz w:val="21"/>
                <w:szCs w:val="21"/>
              </w:rPr>
            </w:pPr>
          </w:p>
        </w:tc>
        <w:tc>
          <w:tcPr>
            <w:tcW w:w="1582" w:type="pct"/>
            <w:gridSpan w:val="2"/>
            <w:vMerge w:val="continue"/>
            <w:tcMar>
              <w:top w:w="0" w:type="dxa"/>
              <w:left w:w="0" w:type="dxa"/>
              <w:right w:w="0" w:type="dxa"/>
            </w:tcMar>
            <w:vAlign w:val="center"/>
          </w:tcPr>
          <w:p w14:paraId="3FF61439">
            <w:pPr>
              <w:snapToGrid w:val="0"/>
              <w:jc w:val="center"/>
              <w:rPr>
                <w:rFonts w:hint="eastAsia" w:hAnsi="宋体"/>
                <w:color w:val="auto"/>
                <w:sz w:val="21"/>
                <w:szCs w:val="21"/>
              </w:rPr>
            </w:pPr>
          </w:p>
        </w:tc>
        <w:tc>
          <w:tcPr>
            <w:tcW w:w="2897" w:type="pct"/>
            <w:gridSpan w:val="2"/>
            <w:tcMar>
              <w:top w:w="0" w:type="dxa"/>
              <w:left w:w="0" w:type="dxa"/>
              <w:right w:w="0" w:type="dxa"/>
            </w:tcMar>
            <w:vAlign w:val="center"/>
          </w:tcPr>
          <w:p w14:paraId="5E72A76C">
            <w:pPr>
              <w:snapToGrid w:val="0"/>
              <w:jc w:val="center"/>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-30dBm/1MHz@1GHz</w:t>
            </w:r>
            <w:r>
              <w:rPr>
                <w:rFonts w:hint="eastAsia" w:ascii="宋体" w:hAnsi="宋体"/>
                <w:color w:val="auto"/>
                <w:sz w:val="21"/>
                <w:szCs w:val="21"/>
              </w:rPr>
              <w:t>～</w:t>
            </w:r>
            <w:r>
              <w:rPr>
                <w:rFonts w:hint="eastAsia" w:hAnsi="宋体"/>
                <w:color w:val="auto"/>
                <w:sz w:val="21"/>
                <w:szCs w:val="21"/>
              </w:rPr>
              <w:t>12.75GHz</w:t>
            </w:r>
          </w:p>
        </w:tc>
      </w:tr>
      <w:tr w14:paraId="3AFFB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tcMar>
              <w:top w:w="0" w:type="dxa"/>
              <w:left w:w="0" w:type="dxa"/>
              <w:right w:w="0" w:type="dxa"/>
            </w:tcMar>
            <w:vAlign w:val="center"/>
          </w:tcPr>
          <w:p w14:paraId="2A9E0A70">
            <w:pPr>
              <w:snapToGrid w:val="0"/>
              <w:jc w:val="center"/>
              <w:rPr>
                <w:rFonts w:hint="eastAsia" w:hAnsi="宋体"/>
                <w:color w:val="auto"/>
                <w:sz w:val="21"/>
                <w:szCs w:val="21"/>
              </w:rPr>
            </w:pPr>
            <w:r>
              <w:rPr>
                <w:rFonts w:hint="eastAsia" w:hAnsi="宋体"/>
                <w:color w:val="auto"/>
                <w:sz w:val="21"/>
                <w:szCs w:val="21"/>
              </w:rPr>
              <w:t>13</w:t>
            </w:r>
          </w:p>
        </w:tc>
        <w:tc>
          <w:tcPr>
            <w:tcW w:w="1582" w:type="pct"/>
            <w:gridSpan w:val="2"/>
            <w:tcMar>
              <w:top w:w="0" w:type="dxa"/>
              <w:left w:w="0" w:type="dxa"/>
              <w:right w:w="0" w:type="dxa"/>
            </w:tcMar>
            <w:vAlign w:val="center"/>
          </w:tcPr>
          <w:p w14:paraId="0C033372">
            <w:pPr>
              <w:snapToGrid w:val="0"/>
              <w:jc w:val="center"/>
              <w:rPr>
                <w:rFonts w:hint="eastAsia" w:hAnsi="宋体"/>
                <w:color w:val="auto"/>
                <w:sz w:val="21"/>
                <w:szCs w:val="21"/>
              </w:rPr>
            </w:pPr>
            <w:r>
              <w:rPr>
                <w:rFonts w:hint="eastAsia" w:hAnsi="宋体"/>
                <w:color w:val="auto"/>
                <w:sz w:val="21"/>
                <w:szCs w:val="21"/>
              </w:rPr>
              <w:t>驻波比</w:t>
            </w:r>
          </w:p>
        </w:tc>
        <w:tc>
          <w:tcPr>
            <w:tcW w:w="2897" w:type="pct"/>
            <w:gridSpan w:val="2"/>
            <w:tcMar>
              <w:top w:w="0" w:type="dxa"/>
              <w:left w:w="0" w:type="dxa"/>
              <w:right w:w="0" w:type="dxa"/>
            </w:tcMar>
            <w:vAlign w:val="center"/>
          </w:tcPr>
          <w:p w14:paraId="71D95E33">
            <w:pPr>
              <w:snapToGrid w:val="0"/>
              <w:jc w:val="center"/>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1.5</w:t>
            </w:r>
          </w:p>
        </w:tc>
      </w:tr>
      <w:tr w14:paraId="12C696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tcMar>
              <w:top w:w="0" w:type="dxa"/>
              <w:left w:w="0" w:type="dxa"/>
              <w:right w:w="0" w:type="dxa"/>
            </w:tcMar>
            <w:vAlign w:val="center"/>
          </w:tcPr>
          <w:p w14:paraId="7F149C14">
            <w:pPr>
              <w:snapToGrid w:val="0"/>
              <w:jc w:val="center"/>
              <w:rPr>
                <w:rFonts w:hint="eastAsia" w:hAnsi="宋体"/>
                <w:color w:val="auto"/>
                <w:sz w:val="21"/>
                <w:szCs w:val="21"/>
              </w:rPr>
            </w:pPr>
            <w:r>
              <w:rPr>
                <w:rFonts w:hint="eastAsia" w:hAnsi="宋体"/>
                <w:color w:val="auto"/>
                <w:sz w:val="21"/>
                <w:szCs w:val="21"/>
              </w:rPr>
              <w:t>14</w:t>
            </w:r>
          </w:p>
        </w:tc>
        <w:tc>
          <w:tcPr>
            <w:tcW w:w="1582" w:type="pct"/>
            <w:gridSpan w:val="2"/>
            <w:tcMar>
              <w:top w:w="0" w:type="dxa"/>
              <w:left w:w="0" w:type="dxa"/>
              <w:right w:w="0" w:type="dxa"/>
            </w:tcMar>
            <w:vAlign w:val="center"/>
          </w:tcPr>
          <w:p w14:paraId="54B4A1A7">
            <w:pPr>
              <w:snapToGrid w:val="0"/>
              <w:jc w:val="center"/>
              <w:rPr>
                <w:rFonts w:hint="eastAsia" w:hAnsi="宋体"/>
                <w:color w:val="auto"/>
                <w:sz w:val="21"/>
                <w:szCs w:val="21"/>
              </w:rPr>
            </w:pPr>
            <w:r>
              <w:rPr>
                <w:rFonts w:hint="eastAsia" w:hAnsi="宋体"/>
                <w:color w:val="auto"/>
                <w:sz w:val="21"/>
                <w:szCs w:val="21"/>
              </w:rPr>
              <w:t>射频接口</w:t>
            </w:r>
          </w:p>
        </w:tc>
        <w:tc>
          <w:tcPr>
            <w:tcW w:w="2897" w:type="pct"/>
            <w:gridSpan w:val="2"/>
            <w:tcMar>
              <w:top w:w="0" w:type="dxa"/>
              <w:left w:w="0" w:type="dxa"/>
              <w:right w:w="0" w:type="dxa"/>
            </w:tcMar>
            <w:vAlign w:val="center"/>
          </w:tcPr>
          <w:p w14:paraId="30AA5D35">
            <w:pPr>
              <w:snapToGrid w:val="0"/>
              <w:jc w:val="center"/>
              <w:rPr>
                <w:rFonts w:hint="eastAsia" w:hAnsi="宋体"/>
                <w:color w:val="auto"/>
                <w:sz w:val="21"/>
                <w:szCs w:val="21"/>
              </w:rPr>
            </w:pPr>
            <w:r>
              <w:rPr>
                <w:rFonts w:hint="eastAsia" w:hAnsi="宋体"/>
                <w:color w:val="auto"/>
                <w:sz w:val="21"/>
                <w:szCs w:val="21"/>
              </w:rPr>
              <w:t>50 OHMS  N-K</w:t>
            </w:r>
          </w:p>
        </w:tc>
      </w:tr>
      <w:tr w14:paraId="18A9A9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vMerge w:val="restart"/>
            <w:tcMar>
              <w:top w:w="0" w:type="dxa"/>
              <w:left w:w="0" w:type="dxa"/>
              <w:right w:w="0" w:type="dxa"/>
            </w:tcMar>
            <w:vAlign w:val="center"/>
          </w:tcPr>
          <w:p w14:paraId="67854A61">
            <w:pPr>
              <w:snapToGrid w:val="0"/>
              <w:jc w:val="center"/>
              <w:rPr>
                <w:rFonts w:hint="eastAsia" w:hAnsi="宋体"/>
                <w:color w:val="auto"/>
                <w:sz w:val="21"/>
                <w:szCs w:val="21"/>
              </w:rPr>
            </w:pPr>
            <w:r>
              <w:rPr>
                <w:rFonts w:hint="eastAsia" w:hAnsi="宋体"/>
                <w:color w:val="auto"/>
                <w:sz w:val="21"/>
                <w:szCs w:val="21"/>
              </w:rPr>
              <w:t>15</w:t>
            </w:r>
          </w:p>
        </w:tc>
        <w:tc>
          <w:tcPr>
            <w:tcW w:w="652" w:type="pct"/>
            <w:vMerge w:val="restart"/>
            <w:tcMar>
              <w:top w:w="0" w:type="dxa"/>
              <w:left w:w="0" w:type="dxa"/>
              <w:right w:w="0" w:type="dxa"/>
            </w:tcMar>
            <w:vAlign w:val="center"/>
          </w:tcPr>
          <w:p w14:paraId="7F835E53">
            <w:pPr>
              <w:snapToGrid w:val="0"/>
              <w:jc w:val="center"/>
              <w:rPr>
                <w:rFonts w:hint="eastAsia" w:hAnsi="宋体"/>
                <w:color w:val="auto"/>
                <w:sz w:val="21"/>
                <w:szCs w:val="21"/>
              </w:rPr>
            </w:pPr>
            <w:r>
              <w:rPr>
                <w:rFonts w:hint="eastAsia" w:hAnsi="宋体"/>
                <w:color w:val="auto"/>
                <w:sz w:val="21"/>
                <w:szCs w:val="21"/>
              </w:rPr>
              <w:t>电源</w:t>
            </w:r>
          </w:p>
        </w:tc>
        <w:tc>
          <w:tcPr>
            <w:tcW w:w="930" w:type="pct"/>
            <w:tcMar>
              <w:top w:w="0" w:type="dxa"/>
              <w:left w:w="0" w:type="dxa"/>
              <w:right w:w="0" w:type="dxa"/>
            </w:tcMar>
            <w:vAlign w:val="center"/>
          </w:tcPr>
          <w:p w14:paraId="6DC6965A">
            <w:pPr>
              <w:snapToGrid w:val="0"/>
              <w:jc w:val="center"/>
              <w:rPr>
                <w:rFonts w:hint="eastAsia" w:hAnsi="宋体"/>
                <w:color w:val="auto"/>
                <w:sz w:val="21"/>
                <w:szCs w:val="21"/>
              </w:rPr>
            </w:pPr>
            <w:r>
              <w:rPr>
                <w:rFonts w:hint="eastAsia" w:hAnsi="宋体"/>
                <w:color w:val="auto"/>
                <w:sz w:val="21"/>
                <w:szCs w:val="21"/>
              </w:rPr>
              <w:t>近端机</w:t>
            </w:r>
          </w:p>
        </w:tc>
        <w:tc>
          <w:tcPr>
            <w:tcW w:w="2897" w:type="pct"/>
            <w:gridSpan w:val="2"/>
            <w:tcMar>
              <w:top w:w="0" w:type="dxa"/>
              <w:left w:w="0" w:type="dxa"/>
              <w:right w:w="0" w:type="dxa"/>
            </w:tcMar>
            <w:vAlign w:val="center"/>
          </w:tcPr>
          <w:p w14:paraId="7682F2CD">
            <w:pPr>
              <w:snapToGrid w:val="0"/>
              <w:jc w:val="center"/>
              <w:rPr>
                <w:rFonts w:hint="eastAsia" w:hAnsi="宋体"/>
                <w:color w:val="auto"/>
                <w:sz w:val="21"/>
                <w:szCs w:val="21"/>
              </w:rPr>
            </w:pPr>
            <w:r>
              <w:rPr>
                <w:rFonts w:hint="eastAsia" w:hAnsi="宋体"/>
                <w:color w:val="auto"/>
                <w:sz w:val="21"/>
                <w:szCs w:val="21"/>
              </w:rPr>
              <w:t>220V AC</w:t>
            </w:r>
          </w:p>
        </w:tc>
      </w:tr>
      <w:tr w14:paraId="2E3C72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vMerge w:val="continue"/>
            <w:tcMar>
              <w:top w:w="0" w:type="dxa"/>
              <w:left w:w="0" w:type="dxa"/>
              <w:right w:w="0" w:type="dxa"/>
            </w:tcMar>
            <w:vAlign w:val="center"/>
          </w:tcPr>
          <w:p w14:paraId="3FCF8D37">
            <w:pPr>
              <w:snapToGrid w:val="0"/>
              <w:jc w:val="center"/>
              <w:rPr>
                <w:rFonts w:hint="eastAsia" w:hAnsi="宋体"/>
                <w:color w:val="auto"/>
                <w:sz w:val="21"/>
                <w:szCs w:val="21"/>
              </w:rPr>
            </w:pPr>
          </w:p>
        </w:tc>
        <w:tc>
          <w:tcPr>
            <w:tcW w:w="652" w:type="pct"/>
            <w:vMerge w:val="continue"/>
            <w:tcMar>
              <w:top w:w="0" w:type="dxa"/>
              <w:left w:w="0" w:type="dxa"/>
              <w:right w:w="0" w:type="dxa"/>
            </w:tcMar>
            <w:vAlign w:val="center"/>
          </w:tcPr>
          <w:p w14:paraId="186945F5">
            <w:pPr>
              <w:snapToGrid w:val="0"/>
              <w:jc w:val="center"/>
              <w:rPr>
                <w:rFonts w:hint="eastAsia" w:hAnsi="宋体"/>
                <w:color w:val="auto"/>
                <w:sz w:val="21"/>
                <w:szCs w:val="21"/>
              </w:rPr>
            </w:pPr>
          </w:p>
        </w:tc>
        <w:tc>
          <w:tcPr>
            <w:tcW w:w="930" w:type="pct"/>
            <w:tcMar>
              <w:top w:w="0" w:type="dxa"/>
              <w:left w:w="0" w:type="dxa"/>
              <w:right w:w="0" w:type="dxa"/>
            </w:tcMar>
            <w:vAlign w:val="center"/>
          </w:tcPr>
          <w:p w14:paraId="19AD8CB7">
            <w:pPr>
              <w:snapToGrid w:val="0"/>
              <w:jc w:val="center"/>
              <w:rPr>
                <w:rFonts w:hint="eastAsia" w:hAnsi="宋体"/>
                <w:color w:val="auto"/>
                <w:sz w:val="21"/>
                <w:szCs w:val="21"/>
              </w:rPr>
            </w:pPr>
            <w:r>
              <w:rPr>
                <w:rFonts w:hint="eastAsia" w:hAnsi="宋体"/>
                <w:color w:val="auto"/>
                <w:sz w:val="21"/>
                <w:szCs w:val="21"/>
              </w:rPr>
              <w:t>远端机</w:t>
            </w:r>
          </w:p>
        </w:tc>
        <w:tc>
          <w:tcPr>
            <w:tcW w:w="2897" w:type="pct"/>
            <w:gridSpan w:val="2"/>
            <w:tcMar>
              <w:top w:w="0" w:type="dxa"/>
              <w:left w:w="0" w:type="dxa"/>
              <w:right w:w="0" w:type="dxa"/>
            </w:tcMar>
            <w:vAlign w:val="center"/>
          </w:tcPr>
          <w:p w14:paraId="31FC119D">
            <w:pPr>
              <w:snapToGrid w:val="0"/>
              <w:jc w:val="center"/>
              <w:rPr>
                <w:rFonts w:hint="eastAsia" w:hAnsi="宋体"/>
                <w:color w:val="auto"/>
                <w:sz w:val="21"/>
                <w:szCs w:val="21"/>
              </w:rPr>
            </w:pPr>
            <w:r>
              <w:rPr>
                <w:rFonts w:hint="eastAsia" w:hAnsi="宋体"/>
                <w:color w:val="auto"/>
                <w:sz w:val="21"/>
                <w:szCs w:val="21"/>
              </w:rPr>
              <w:t>220V AC</w:t>
            </w:r>
          </w:p>
        </w:tc>
      </w:tr>
      <w:tr w14:paraId="5EDB9F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vMerge w:val="restart"/>
            <w:tcMar>
              <w:top w:w="0" w:type="dxa"/>
              <w:left w:w="0" w:type="dxa"/>
              <w:right w:w="0" w:type="dxa"/>
            </w:tcMar>
            <w:vAlign w:val="center"/>
          </w:tcPr>
          <w:p w14:paraId="5FF9CBA3">
            <w:pPr>
              <w:snapToGrid w:val="0"/>
              <w:jc w:val="center"/>
              <w:rPr>
                <w:rFonts w:hint="eastAsia" w:hAnsi="宋体"/>
                <w:color w:val="auto"/>
                <w:sz w:val="21"/>
                <w:szCs w:val="21"/>
              </w:rPr>
            </w:pPr>
            <w:r>
              <w:rPr>
                <w:rFonts w:hint="eastAsia" w:hAnsi="宋体"/>
                <w:color w:val="auto"/>
                <w:sz w:val="21"/>
                <w:szCs w:val="21"/>
              </w:rPr>
              <w:t>16</w:t>
            </w:r>
          </w:p>
        </w:tc>
        <w:tc>
          <w:tcPr>
            <w:tcW w:w="652" w:type="pct"/>
            <w:vMerge w:val="restart"/>
            <w:tcMar>
              <w:top w:w="0" w:type="dxa"/>
              <w:left w:w="0" w:type="dxa"/>
              <w:right w:w="0" w:type="dxa"/>
            </w:tcMar>
            <w:vAlign w:val="center"/>
          </w:tcPr>
          <w:p w14:paraId="0D0619FD">
            <w:pPr>
              <w:snapToGrid w:val="0"/>
              <w:jc w:val="center"/>
              <w:rPr>
                <w:rFonts w:hint="eastAsia" w:hAnsi="宋体"/>
                <w:color w:val="auto"/>
                <w:sz w:val="21"/>
                <w:szCs w:val="21"/>
              </w:rPr>
            </w:pPr>
            <w:r>
              <w:rPr>
                <w:rFonts w:hint="eastAsia" w:hAnsi="宋体"/>
                <w:color w:val="auto"/>
                <w:sz w:val="21"/>
                <w:szCs w:val="21"/>
              </w:rPr>
              <w:t>设备功耗</w:t>
            </w:r>
          </w:p>
        </w:tc>
        <w:tc>
          <w:tcPr>
            <w:tcW w:w="930" w:type="pct"/>
            <w:tcMar>
              <w:top w:w="0" w:type="dxa"/>
              <w:left w:w="0" w:type="dxa"/>
              <w:right w:w="0" w:type="dxa"/>
            </w:tcMar>
            <w:vAlign w:val="center"/>
          </w:tcPr>
          <w:p w14:paraId="3E1FB65C">
            <w:pPr>
              <w:snapToGrid w:val="0"/>
              <w:jc w:val="center"/>
              <w:rPr>
                <w:rFonts w:hint="eastAsia" w:hAnsi="宋体"/>
                <w:color w:val="auto"/>
                <w:sz w:val="21"/>
                <w:szCs w:val="21"/>
              </w:rPr>
            </w:pPr>
            <w:r>
              <w:rPr>
                <w:rFonts w:hint="eastAsia" w:hAnsi="宋体"/>
                <w:color w:val="auto"/>
                <w:sz w:val="21"/>
                <w:szCs w:val="21"/>
              </w:rPr>
              <w:t>近端机</w:t>
            </w:r>
          </w:p>
        </w:tc>
        <w:tc>
          <w:tcPr>
            <w:tcW w:w="2897" w:type="pct"/>
            <w:gridSpan w:val="2"/>
            <w:tcMar>
              <w:top w:w="0" w:type="dxa"/>
              <w:left w:w="0" w:type="dxa"/>
              <w:right w:w="0" w:type="dxa"/>
            </w:tcMar>
            <w:vAlign w:val="center"/>
          </w:tcPr>
          <w:p w14:paraId="61A3AAC8">
            <w:pPr>
              <w:snapToGrid w:val="0"/>
              <w:jc w:val="center"/>
              <w:rPr>
                <w:rFonts w:hint="eastAsia" w:hAnsi="宋体"/>
                <w:color w:val="auto"/>
                <w:sz w:val="21"/>
                <w:szCs w:val="21"/>
              </w:rPr>
            </w:pPr>
            <w:r>
              <w:rPr>
                <w:rFonts w:hint="eastAsia" w:hAnsi="宋体"/>
                <w:color w:val="auto"/>
                <w:sz w:val="21"/>
                <w:szCs w:val="21"/>
              </w:rPr>
              <w:t>不大于50W</w:t>
            </w:r>
          </w:p>
        </w:tc>
      </w:tr>
      <w:tr w14:paraId="515529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vMerge w:val="continue"/>
            <w:tcMar>
              <w:top w:w="0" w:type="dxa"/>
              <w:left w:w="0" w:type="dxa"/>
              <w:right w:w="0" w:type="dxa"/>
            </w:tcMar>
            <w:vAlign w:val="center"/>
          </w:tcPr>
          <w:p w14:paraId="2A8EAA48">
            <w:pPr>
              <w:snapToGrid w:val="0"/>
              <w:jc w:val="center"/>
              <w:rPr>
                <w:rFonts w:hint="eastAsia" w:hAnsi="宋体"/>
                <w:color w:val="auto"/>
                <w:sz w:val="21"/>
                <w:szCs w:val="21"/>
              </w:rPr>
            </w:pPr>
          </w:p>
        </w:tc>
        <w:tc>
          <w:tcPr>
            <w:tcW w:w="652" w:type="pct"/>
            <w:vMerge w:val="continue"/>
            <w:tcMar>
              <w:top w:w="0" w:type="dxa"/>
              <w:left w:w="0" w:type="dxa"/>
              <w:right w:w="0" w:type="dxa"/>
            </w:tcMar>
            <w:vAlign w:val="center"/>
          </w:tcPr>
          <w:p w14:paraId="3E275D14">
            <w:pPr>
              <w:snapToGrid w:val="0"/>
              <w:jc w:val="center"/>
              <w:rPr>
                <w:rFonts w:hint="eastAsia" w:hAnsi="宋体"/>
                <w:color w:val="auto"/>
                <w:sz w:val="21"/>
                <w:szCs w:val="21"/>
              </w:rPr>
            </w:pPr>
          </w:p>
        </w:tc>
        <w:tc>
          <w:tcPr>
            <w:tcW w:w="930" w:type="pct"/>
            <w:tcMar>
              <w:top w:w="0" w:type="dxa"/>
              <w:left w:w="0" w:type="dxa"/>
              <w:right w:w="0" w:type="dxa"/>
            </w:tcMar>
            <w:vAlign w:val="center"/>
          </w:tcPr>
          <w:p w14:paraId="072AA8B4">
            <w:pPr>
              <w:snapToGrid w:val="0"/>
              <w:jc w:val="center"/>
              <w:rPr>
                <w:rFonts w:hint="eastAsia" w:hAnsi="宋体"/>
                <w:color w:val="auto"/>
                <w:sz w:val="21"/>
                <w:szCs w:val="21"/>
              </w:rPr>
            </w:pPr>
            <w:r>
              <w:rPr>
                <w:rFonts w:hint="eastAsia" w:hAnsi="宋体"/>
                <w:color w:val="auto"/>
                <w:sz w:val="21"/>
                <w:szCs w:val="21"/>
              </w:rPr>
              <w:t>远端机</w:t>
            </w:r>
          </w:p>
        </w:tc>
        <w:tc>
          <w:tcPr>
            <w:tcW w:w="2897" w:type="pct"/>
            <w:gridSpan w:val="2"/>
            <w:tcMar>
              <w:top w:w="0" w:type="dxa"/>
              <w:left w:w="0" w:type="dxa"/>
              <w:right w:w="0" w:type="dxa"/>
            </w:tcMar>
            <w:vAlign w:val="center"/>
          </w:tcPr>
          <w:p w14:paraId="0A96AC1A">
            <w:pPr>
              <w:snapToGrid w:val="0"/>
              <w:jc w:val="center"/>
              <w:rPr>
                <w:rFonts w:hint="eastAsia" w:hAnsi="宋体"/>
                <w:color w:val="auto"/>
                <w:sz w:val="21"/>
                <w:szCs w:val="21"/>
              </w:rPr>
            </w:pPr>
            <w:r>
              <w:rPr>
                <w:rFonts w:hint="eastAsia" w:hAnsi="宋体"/>
                <w:color w:val="auto"/>
                <w:sz w:val="21"/>
                <w:szCs w:val="21"/>
              </w:rPr>
              <w:t>不大于150W</w:t>
            </w:r>
          </w:p>
        </w:tc>
      </w:tr>
      <w:tr w14:paraId="46593F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vMerge w:val="restart"/>
            <w:tcMar>
              <w:top w:w="0" w:type="dxa"/>
              <w:left w:w="0" w:type="dxa"/>
              <w:right w:w="0" w:type="dxa"/>
            </w:tcMar>
            <w:vAlign w:val="center"/>
          </w:tcPr>
          <w:p w14:paraId="4B240FF8">
            <w:pPr>
              <w:snapToGrid w:val="0"/>
              <w:jc w:val="center"/>
              <w:rPr>
                <w:rFonts w:hint="eastAsia" w:hAnsi="宋体"/>
                <w:color w:val="auto"/>
                <w:sz w:val="21"/>
                <w:szCs w:val="21"/>
              </w:rPr>
            </w:pPr>
            <w:r>
              <w:rPr>
                <w:rFonts w:hint="eastAsia" w:hAnsi="宋体"/>
                <w:color w:val="auto"/>
                <w:sz w:val="21"/>
                <w:szCs w:val="21"/>
              </w:rPr>
              <w:t>17</w:t>
            </w:r>
          </w:p>
        </w:tc>
        <w:tc>
          <w:tcPr>
            <w:tcW w:w="652" w:type="pct"/>
            <w:vMerge w:val="restart"/>
            <w:tcMar>
              <w:top w:w="0" w:type="dxa"/>
              <w:left w:w="0" w:type="dxa"/>
              <w:right w:w="0" w:type="dxa"/>
            </w:tcMar>
            <w:vAlign w:val="center"/>
          </w:tcPr>
          <w:p w14:paraId="41858C36">
            <w:pPr>
              <w:snapToGrid w:val="0"/>
              <w:jc w:val="center"/>
              <w:rPr>
                <w:rFonts w:hint="eastAsia" w:hAnsi="宋体"/>
                <w:color w:val="auto"/>
                <w:sz w:val="21"/>
                <w:szCs w:val="21"/>
              </w:rPr>
            </w:pPr>
            <w:r>
              <w:rPr>
                <w:rFonts w:hint="eastAsia" w:hAnsi="宋体"/>
                <w:color w:val="auto"/>
                <w:sz w:val="21"/>
                <w:szCs w:val="21"/>
              </w:rPr>
              <w:t>机箱类型</w:t>
            </w:r>
          </w:p>
        </w:tc>
        <w:tc>
          <w:tcPr>
            <w:tcW w:w="930" w:type="pct"/>
            <w:tcMar>
              <w:top w:w="0" w:type="dxa"/>
              <w:left w:w="0" w:type="dxa"/>
              <w:right w:w="0" w:type="dxa"/>
            </w:tcMar>
            <w:vAlign w:val="center"/>
          </w:tcPr>
          <w:p w14:paraId="3B60DBC5">
            <w:pPr>
              <w:snapToGrid w:val="0"/>
              <w:jc w:val="center"/>
              <w:rPr>
                <w:rFonts w:hint="eastAsia" w:hAnsi="宋体"/>
                <w:color w:val="auto"/>
                <w:sz w:val="21"/>
                <w:szCs w:val="21"/>
              </w:rPr>
            </w:pPr>
            <w:r>
              <w:rPr>
                <w:rFonts w:hint="eastAsia" w:hAnsi="宋体"/>
                <w:color w:val="auto"/>
                <w:sz w:val="21"/>
                <w:szCs w:val="21"/>
              </w:rPr>
              <w:t>近端机</w:t>
            </w:r>
          </w:p>
        </w:tc>
        <w:tc>
          <w:tcPr>
            <w:tcW w:w="2897" w:type="pct"/>
            <w:gridSpan w:val="2"/>
            <w:tcMar>
              <w:top w:w="0" w:type="dxa"/>
              <w:left w:w="0" w:type="dxa"/>
              <w:right w:w="0" w:type="dxa"/>
            </w:tcMar>
            <w:vAlign w:val="center"/>
          </w:tcPr>
          <w:p w14:paraId="0DDBDA7A">
            <w:pPr>
              <w:snapToGrid w:val="0"/>
              <w:jc w:val="center"/>
              <w:rPr>
                <w:rFonts w:hint="eastAsia" w:hAnsi="宋体"/>
                <w:color w:val="auto"/>
                <w:sz w:val="21"/>
                <w:szCs w:val="21"/>
              </w:rPr>
            </w:pPr>
            <w:r>
              <w:rPr>
                <w:rFonts w:hint="eastAsia" w:hAnsi="宋体"/>
                <w:color w:val="auto"/>
                <w:sz w:val="21"/>
                <w:szCs w:val="21"/>
              </w:rPr>
              <w:t>3U标准机柜机箱</w:t>
            </w:r>
          </w:p>
        </w:tc>
      </w:tr>
      <w:tr w14:paraId="107A27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vMerge w:val="continue"/>
            <w:tcMar>
              <w:top w:w="0" w:type="dxa"/>
              <w:left w:w="0" w:type="dxa"/>
              <w:right w:w="0" w:type="dxa"/>
            </w:tcMar>
            <w:vAlign w:val="center"/>
          </w:tcPr>
          <w:p w14:paraId="68F37D9D">
            <w:pPr>
              <w:snapToGrid w:val="0"/>
              <w:jc w:val="center"/>
              <w:rPr>
                <w:rFonts w:hint="eastAsia" w:hAnsi="宋体"/>
                <w:color w:val="auto"/>
                <w:sz w:val="21"/>
                <w:szCs w:val="21"/>
              </w:rPr>
            </w:pPr>
          </w:p>
        </w:tc>
        <w:tc>
          <w:tcPr>
            <w:tcW w:w="652" w:type="pct"/>
            <w:vMerge w:val="continue"/>
            <w:tcMar>
              <w:top w:w="0" w:type="dxa"/>
              <w:left w:w="0" w:type="dxa"/>
              <w:right w:w="0" w:type="dxa"/>
            </w:tcMar>
            <w:vAlign w:val="center"/>
          </w:tcPr>
          <w:p w14:paraId="6026CDB2">
            <w:pPr>
              <w:snapToGrid w:val="0"/>
              <w:jc w:val="center"/>
              <w:rPr>
                <w:rFonts w:hint="eastAsia" w:hAnsi="宋体"/>
                <w:color w:val="auto"/>
                <w:sz w:val="21"/>
                <w:szCs w:val="21"/>
              </w:rPr>
            </w:pPr>
          </w:p>
        </w:tc>
        <w:tc>
          <w:tcPr>
            <w:tcW w:w="930" w:type="pct"/>
            <w:tcMar>
              <w:top w:w="0" w:type="dxa"/>
              <w:left w:w="0" w:type="dxa"/>
              <w:right w:w="0" w:type="dxa"/>
            </w:tcMar>
            <w:vAlign w:val="center"/>
          </w:tcPr>
          <w:p w14:paraId="4BAE0173">
            <w:pPr>
              <w:snapToGrid w:val="0"/>
              <w:jc w:val="center"/>
              <w:rPr>
                <w:rFonts w:hint="eastAsia" w:hAnsi="宋体"/>
                <w:color w:val="auto"/>
                <w:sz w:val="21"/>
                <w:szCs w:val="21"/>
              </w:rPr>
            </w:pPr>
            <w:r>
              <w:rPr>
                <w:rFonts w:hint="eastAsia" w:hAnsi="宋体"/>
                <w:color w:val="auto"/>
                <w:sz w:val="21"/>
                <w:szCs w:val="21"/>
              </w:rPr>
              <w:t>远端机</w:t>
            </w:r>
          </w:p>
        </w:tc>
        <w:tc>
          <w:tcPr>
            <w:tcW w:w="2897" w:type="pct"/>
            <w:gridSpan w:val="2"/>
            <w:tcMar>
              <w:top w:w="0" w:type="dxa"/>
              <w:left w:w="0" w:type="dxa"/>
              <w:right w:w="0" w:type="dxa"/>
            </w:tcMar>
            <w:vAlign w:val="center"/>
          </w:tcPr>
          <w:p w14:paraId="6D7A862C">
            <w:pPr>
              <w:snapToGrid w:val="0"/>
              <w:jc w:val="center"/>
              <w:rPr>
                <w:rFonts w:hint="eastAsia" w:hAnsi="宋体"/>
                <w:color w:val="auto"/>
                <w:sz w:val="21"/>
                <w:szCs w:val="21"/>
              </w:rPr>
            </w:pPr>
            <w:r>
              <w:rPr>
                <w:rFonts w:hint="eastAsia" w:hAnsi="宋体"/>
                <w:color w:val="auto"/>
                <w:sz w:val="21"/>
                <w:szCs w:val="21"/>
              </w:rPr>
              <w:t>IP65室外机箱</w:t>
            </w:r>
          </w:p>
        </w:tc>
      </w:tr>
      <w:tr w14:paraId="7CD6A0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tcMar>
              <w:top w:w="0" w:type="dxa"/>
              <w:left w:w="0" w:type="dxa"/>
              <w:right w:w="0" w:type="dxa"/>
            </w:tcMar>
            <w:vAlign w:val="center"/>
          </w:tcPr>
          <w:p w14:paraId="39432678">
            <w:pPr>
              <w:snapToGrid w:val="0"/>
              <w:jc w:val="center"/>
              <w:rPr>
                <w:rFonts w:hint="eastAsia" w:hAnsi="宋体"/>
                <w:color w:val="auto"/>
                <w:sz w:val="21"/>
                <w:szCs w:val="21"/>
              </w:rPr>
            </w:pPr>
            <w:r>
              <w:rPr>
                <w:rFonts w:hint="eastAsia" w:hAnsi="宋体"/>
                <w:color w:val="auto"/>
                <w:sz w:val="21"/>
                <w:szCs w:val="21"/>
              </w:rPr>
              <w:t>18</w:t>
            </w:r>
          </w:p>
        </w:tc>
        <w:tc>
          <w:tcPr>
            <w:tcW w:w="1582" w:type="pct"/>
            <w:gridSpan w:val="2"/>
            <w:tcMar>
              <w:top w:w="0" w:type="dxa"/>
              <w:left w:w="0" w:type="dxa"/>
              <w:right w:w="0" w:type="dxa"/>
            </w:tcMar>
            <w:vAlign w:val="center"/>
          </w:tcPr>
          <w:p w14:paraId="60278D7A">
            <w:pPr>
              <w:snapToGrid w:val="0"/>
              <w:jc w:val="center"/>
              <w:rPr>
                <w:rFonts w:hint="eastAsia" w:hAnsi="宋体"/>
                <w:color w:val="auto"/>
                <w:sz w:val="21"/>
                <w:szCs w:val="21"/>
              </w:rPr>
            </w:pPr>
            <w:r>
              <w:rPr>
                <w:rFonts w:hint="eastAsia" w:hAnsi="宋体"/>
                <w:color w:val="auto"/>
                <w:sz w:val="21"/>
                <w:szCs w:val="21"/>
              </w:rPr>
              <w:t>工作温度</w:t>
            </w:r>
          </w:p>
        </w:tc>
        <w:tc>
          <w:tcPr>
            <w:tcW w:w="2897" w:type="pct"/>
            <w:gridSpan w:val="2"/>
            <w:tcMar>
              <w:top w:w="0" w:type="dxa"/>
              <w:left w:w="0" w:type="dxa"/>
              <w:right w:w="0" w:type="dxa"/>
            </w:tcMar>
            <w:vAlign w:val="center"/>
          </w:tcPr>
          <w:p w14:paraId="686B70E3">
            <w:pPr>
              <w:snapToGrid w:val="0"/>
              <w:jc w:val="center"/>
              <w:rPr>
                <w:rFonts w:hint="eastAsia" w:hAnsi="宋体"/>
                <w:color w:val="auto"/>
                <w:sz w:val="21"/>
                <w:szCs w:val="21"/>
              </w:rPr>
            </w:pPr>
            <w:r>
              <w:rPr>
                <w:rFonts w:hint="eastAsia" w:hAnsi="宋体"/>
                <w:color w:val="auto"/>
                <w:sz w:val="21"/>
                <w:szCs w:val="21"/>
              </w:rPr>
              <w:t>-25</w:t>
            </w:r>
            <w:r>
              <w:rPr>
                <w:rFonts w:hint="eastAsia" w:ascii="宋体" w:hAnsi="宋体"/>
                <w:color w:val="auto"/>
                <w:sz w:val="21"/>
                <w:szCs w:val="21"/>
              </w:rPr>
              <w:t>～</w:t>
            </w:r>
            <w:r>
              <w:rPr>
                <w:rFonts w:hint="eastAsia" w:hAnsi="宋体"/>
                <w:color w:val="auto"/>
                <w:sz w:val="21"/>
                <w:szCs w:val="21"/>
              </w:rPr>
              <w:t>55℃</w:t>
            </w:r>
          </w:p>
        </w:tc>
      </w:tr>
      <w:tr w14:paraId="30ADAA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tcMar>
              <w:top w:w="0" w:type="dxa"/>
              <w:left w:w="0" w:type="dxa"/>
              <w:right w:w="0" w:type="dxa"/>
            </w:tcMar>
            <w:vAlign w:val="center"/>
          </w:tcPr>
          <w:p w14:paraId="50C7595B">
            <w:pPr>
              <w:snapToGrid w:val="0"/>
              <w:jc w:val="center"/>
              <w:rPr>
                <w:rFonts w:hint="eastAsia" w:hAnsi="宋体"/>
                <w:color w:val="auto"/>
                <w:sz w:val="21"/>
                <w:szCs w:val="21"/>
              </w:rPr>
            </w:pPr>
            <w:r>
              <w:rPr>
                <w:rFonts w:hint="eastAsia" w:hAnsi="宋体"/>
                <w:color w:val="auto"/>
                <w:sz w:val="21"/>
                <w:szCs w:val="21"/>
              </w:rPr>
              <w:t>19</w:t>
            </w:r>
          </w:p>
        </w:tc>
        <w:tc>
          <w:tcPr>
            <w:tcW w:w="1582" w:type="pct"/>
            <w:gridSpan w:val="2"/>
            <w:tcMar>
              <w:top w:w="0" w:type="dxa"/>
              <w:left w:w="0" w:type="dxa"/>
              <w:right w:w="0" w:type="dxa"/>
            </w:tcMar>
            <w:vAlign w:val="center"/>
          </w:tcPr>
          <w:p w14:paraId="0ABBE648">
            <w:pPr>
              <w:snapToGrid w:val="0"/>
              <w:jc w:val="center"/>
              <w:rPr>
                <w:rFonts w:hint="eastAsia" w:hAnsi="宋体"/>
                <w:color w:val="auto"/>
                <w:sz w:val="21"/>
                <w:szCs w:val="21"/>
              </w:rPr>
            </w:pPr>
            <w:r>
              <w:rPr>
                <w:rFonts w:hint="eastAsia" w:hAnsi="宋体"/>
                <w:color w:val="auto"/>
                <w:sz w:val="21"/>
                <w:szCs w:val="21"/>
              </w:rPr>
              <w:t>光接口型号</w:t>
            </w:r>
          </w:p>
        </w:tc>
        <w:tc>
          <w:tcPr>
            <w:tcW w:w="2897" w:type="pct"/>
            <w:gridSpan w:val="2"/>
            <w:tcMar>
              <w:top w:w="0" w:type="dxa"/>
              <w:left w:w="0" w:type="dxa"/>
              <w:right w:w="0" w:type="dxa"/>
            </w:tcMar>
            <w:vAlign w:val="center"/>
          </w:tcPr>
          <w:p w14:paraId="657E130C">
            <w:pPr>
              <w:snapToGrid w:val="0"/>
              <w:jc w:val="center"/>
              <w:rPr>
                <w:rFonts w:hint="eastAsia" w:hAnsi="宋体"/>
                <w:color w:val="auto"/>
                <w:sz w:val="21"/>
                <w:szCs w:val="21"/>
              </w:rPr>
            </w:pPr>
            <w:r>
              <w:rPr>
                <w:rFonts w:hint="eastAsia" w:hAnsi="宋体"/>
                <w:color w:val="auto"/>
                <w:sz w:val="21"/>
                <w:szCs w:val="21"/>
              </w:rPr>
              <w:t>FC/PC and LC/UPC</w:t>
            </w:r>
          </w:p>
        </w:tc>
      </w:tr>
      <w:tr w14:paraId="6D3F91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tcMar>
              <w:top w:w="0" w:type="dxa"/>
              <w:left w:w="0" w:type="dxa"/>
              <w:right w:w="0" w:type="dxa"/>
            </w:tcMar>
            <w:vAlign w:val="center"/>
          </w:tcPr>
          <w:p w14:paraId="117B3C3F">
            <w:pPr>
              <w:snapToGrid w:val="0"/>
              <w:jc w:val="center"/>
              <w:rPr>
                <w:rFonts w:hint="eastAsia" w:hAnsi="宋体"/>
                <w:color w:val="auto"/>
                <w:sz w:val="21"/>
                <w:szCs w:val="21"/>
              </w:rPr>
            </w:pPr>
            <w:r>
              <w:rPr>
                <w:rFonts w:hint="eastAsia" w:hAnsi="宋体"/>
                <w:color w:val="auto"/>
                <w:sz w:val="21"/>
                <w:szCs w:val="21"/>
              </w:rPr>
              <w:t>20</w:t>
            </w:r>
          </w:p>
        </w:tc>
        <w:tc>
          <w:tcPr>
            <w:tcW w:w="1582" w:type="pct"/>
            <w:gridSpan w:val="2"/>
            <w:tcMar>
              <w:top w:w="0" w:type="dxa"/>
              <w:left w:w="0" w:type="dxa"/>
              <w:right w:w="0" w:type="dxa"/>
            </w:tcMar>
            <w:vAlign w:val="center"/>
          </w:tcPr>
          <w:p w14:paraId="3FC309D7">
            <w:pPr>
              <w:snapToGrid w:val="0"/>
              <w:jc w:val="center"/>
              <w:rPr>
                <w:rFonts w:hint="eastAsia" w:hAnsi="宋体"/>
                <w:color w:val="auto"/>
                <w:sz w:val="21"/>
                <w:szCs w:val="21"/>
              </w:rPr>
            </w:pPr>
            <w:r>
              <w:rPr>
                <w:rFonts w:hint="eastAsia" w:hAnsi="宋体"/>
                <w:color w:val="auto"/>
                <w:sz w:val="21"/>
                <w:szCs w:val="21"/>
              </w:rPr>
              <w:t>光纤类型</w:t>
            </w:r>
          </w:p>
        </w:tc>
        <w:tc>
          <w:tcPr>
            <w:tcW w:w="2897" w:type="pct"/>
            <w:gridSpan w:val="2"/>
            <w:tcMar>
              <w:top w:w="0" w:type="dxa"/>
              <w:left w:w="0" w:type="dxa"/>
              <w:right w:w="0" w:type="dxa"/>
            </w:tcMar>
            <w:vAlign w:val="center"/>
          </w:tcPr>
          <w:p w14:paraId="385D457D">
            <w:pPr>
              <w:snapToGrid w:val="0"/>
              <w:jc w:val="center"/>
              <w:rPr>
                <w:rFonts w:hint="eastAsia" w:hAnsi="宋体"/>
                <w:color w:val="auto"/>
                <w:sz w:val="21"/>
                <w:szCs w:val="21"/>
              </w:rPr>
            </w:pPr>
            <w:r>
              <w:rPr>
                <w:rFonts w:hint="eastAsia" w:hAnsi="宋体"/>
                <w:color w:val="auto"/>
                <w:sz w:val="21"/>
                <w:szCs w:val="21"/>
              </w:rPr>
              <w:t>单模（Single mode）</w:t>
            </w:r>
          </w:p>
        </w:tc>
      </w:tr>
      <w:tr w14:paraId="3D0845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tcMar>
              <w:top w:w="0" w:type="dxa"/>
              <w:left w:w="0" w:type="dxa"/>
              <w:right w:w="0" w:type="dxa"/>
            </w:tcMar>
            <w:vAlign w:val="center"/>
          </w:tcPr>
          <w:p w14:paraId="3AC61A5C">
            <w:pPr>
              <w:snapToGrid w:val="0"/>
              <w:jc w:val="center"/>
              <w:rPr>
                <w:rFonts w:hint="eastAsia" w:hAnsi="宋体"/>
                <w:color w:val="auto"/>
                <w:sz w:val="21"/>
                <w:szCs w:val="21"/>
              </w:rPr>
            </w:pPr>
            <w:r>
              <w:rPr>
                <w:rFonts w:hint="eastAsia" w:hAnsi="宋体"/>
                <w:color w:val="auto"/>
                <w:sz w:val="21"/>
                <w:szCs w:val="21"/>
              </w:rPr>
              <w:t>21</w:t>
            </w:r>
          </w:p>
        </w:tc>
        <w:tc>
          <w:tcPr>
            <w:tcW w:w="1582" w:type="pct"/>
            <w:gridSpan w:val="2"/>
            <w:tcMar>
              <w:top w:w="0" w:type="dxa"/>
              <w:left w:w="0" w:type="dxa"/>
              <w:right w:w="0" w:type="dxa"/>
            </w:tcMar>
            <w:vAlign w:val="center"/>
          </w:tcPr>
          <w:p w14:paraId="5CEDFF15">
            <w:pPr>
              <w:snapToGrid w:val="0"/>
              <w:jc w:val="center"/>
              <w:rPr>
                <w:rFonts w:hint="eastAsia" w:hAnsi="宋体"/>
                <w:color w:val="auto"/>
                <w:sz w:val="21"/>
                <w:szCs w:val="21"/>
              </w:rPr>
            </w:pPr>
            <w:r>
              <w:rPr>
                <w:rFonts w:hint="eastAsia" w:hAnsi="宋体"/>
                <w:color w:val="auto"/>
                <w:sz w:val="21"/>
                <w:szCs w:val="21"/>
              </w:rPr>
              <w:t>光波长</w:t>
            </w:r>
          </w:p>
        </w:tc>
        <w:tc>
          <w:tcPr>
            <w:tcW w:w="2897" w:type="pct"/>
            <w:gridSpan w:val="2"/>
            <w:tcMar>
              <w:top w:w="0" w:type="dxa"/>
              <w:left w:w="0" w:type="dxa"/>
              <w:right w:w="0" w:type="dxa"/>
            </w:tcMar>
            <w:vAlign w:val="center"/>
          </w:tcPr>
          <w:p w14:paraId="315FA34B">
            <w:pPr>
              <w:snapToGrid w:val="0"/>
              <w:jc w:val="center"/>
              <w:rPr>
                <w:rFonts w:hint="eastAsia" w:hAnsi="宋体"/>
                <w:color w:val="auto"/>
                <w:sz w:val="21"/>
                <w:szCs w:val="21"/>
              </w:rPr>
            </w:pPr>
            <w:r>
              <w:rPr>
                <w:rFonts w:hint="eastAsia" w:hAnsi="宋体"/>
                <w:color w:val="auto"/>
                <w:sz w:val="21"/>
                <w:szCs w:val="21"/>
              </w:rPr>
              <w:t>1310nm and 1550nm</w:t>
            </w:r>
          </w:p>
        </w:tc>
      </w:tr>
      <w:tr w14:paraId="502A69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21" w:type="pct"/>
            <w:tcMar>
              <w:top w:w="0" w:type="dxa"/>
              <w:left w:w="0" w:type="dxa"/>
              <w:right w:w="0" w:type="dxa"/>
            </w:tcMar>
            <w:vAlign w:val="center"/>
          </w:tcPr>
          <w:p w14:paraId="016C41E5">
            <w:pPr>
              <w:snapToGrid w:val="0"/>
              <w:jc w:val="center"/>
              <w:rPr>
                <w:rFonts w:hint="eastAsia" w:hAnsi="宋体"/>
                <w:color w:val="auto"/>
                <w:sz w:val="21"/>
                <w:szCs w:val="21"/>
              </w:rPr>
            </w:pPr>
            <w:r>
              <w:rPr>
                <w:rFonts w:hint="eastAsia" w:hAnsi="宋体"/>
                <w:color w:val="auto"/>
                <w:sz w:val="21"/>
                <w:szCs w:val="21"/>
              </w:rPr>
              <w:t>22</w:t>
            </w:r>
          </w:p>
        </w:tc>
        <w:tc>
          <w:tcPr>
            <w:tcW w:w="1582" w:type="pct"/>
            <w:gridSpan w:val="2"/>
            <w:tcMar>
              <w:top w:w="0" w:type="dxa"/>
              <w:left w:w="0" w:type="dxa"/>
              <w:right w:w="0" w:type="dxa"/>
            </w:tcMar>
            <w:vAlign w:val="center"/>
          </w:tcPr>
          <w:p w14:paraId="31289A2D">
            <w:pPr>
              <w:snapToGrid w:val="0"/>
              <w:jc w:val="center"/>
              <w:rPr>
                <w:rFonts w:hint="eastAsia" w:hAnsi="宋体"/>
                <w:color w:val="auto"/>
                <w:sz w:val="21"/>
                <w:szCs w:val="21"/>
              </w:rPr>
            </w:pPr>
            <w:r>
              <w:rPr>
                <w:rFonts w:hint="eastAsia" w:hAnsi="宋体"/>
                <w:color w:val="auto"/>
                <w:sz w:val="21"/>
                <w:szCs w:val="21"/>
              </w:rPr>
              <w:t>光输出功率</w:t>
            </w:r>
          </w:p>
        </w:tc>
        <w:tc>
          <w:tcPr>
            <w:tcW w:w="2897" w:type="pct"/>
            <w:gridSpan w:val="2"/>
            <w:tcMar>
              <w:top w:w="0" w:type="dxa"/>
              <w:left w:w="0" w:type="dxa"/>
              <w:right w:w="0" w:type="dxa"/>
            </w:tcMar>
            <w:vAlign w:val="center"/>
          </w:tcPr>
          <w:p w14:paraId="7DAF7BB9">
            <w:pPr>
              <w:snapToGrid w:val="0"/>
              <w:jc w:val="center"/>
              <w:rPr>
                <w:rFonts w:hint="eastAsia" w:hAnsi="宋体"/>
                <w:color w:val="auto"/>
                <w:sz w:val="21"/>
                <w:szCs w:val="21"/>
              </w:rPr>
            </w:pPr>
            <w:r>
              <w:rPr>
                <w:rFonts w:hint="eastAsia" w:ascii="宋体" w:hAnsi="宋体"/>
                <w:color w:val="auto"/>
                <w:sz w:val="21"/>
                <w:szCs w:val="21"/>
              </w:rPr>
              <w:t>≥</w:t>
            </w:r>
            <w:r>
              <w:rPr>
                <w:rFonts w:hint="eastAsia" w:hAnsi="宋体"/>
                <w:color w:val="auto"/>
                <w:sz w:val="21"/>
                <w:szCs w:val="21"/>
              </w:rPr>
              <w:t>0dBm</w:t>
            </w:r>
          </w:p>
        </w:tc>
      </w:tr>
    </w:tbl>
    <w:p w14:paraId="0620E3EE">
      <w:pPr>
        <w:spacing w:before="120"/>
        <w:ind w:firstLine="420" w:firstLineChars="200"/>
        <w:rPr>
          <w:color w:val="auto"/>
          <w:sz w:val="21"/>
          <w:szCs w:val="21"/>
        </w:rPr>
      </w:pPr>
      <w:r>
        <w:rPr>
          <w:color w:val="auto"/>
          <w:sz w:val="21"/>
          <w:szCs w:val="21"/>
        </w:rPr>
        <w:t xml:space="preserve">2  </w:t>
      </w:r>
      <w:r>
        <w:rPr>
          <w:rFonts w:hint="eastAsia"/>
          <w:color w:val="auto"/>
          <w:sz w:val="21"/>
          <w:szCs w:val="21"/>
        </w:rPr>
        <w:t>直放站网管</w:t>
      </w:r>
    </w:p>
    <w:p w14:paraId="36D4C56D">
      <w:pPr>
        <w:ind w:firstLine="420" w:firstLineChars="200"/>
        <w:rPr>
          <w:color w:val="auto"/>
          <w:sz w:val="21"/>
          <w:szCs w:val="21"/>
        </w:rPr>
      </w:pPr>
      <w:r>
        <w:rPr>
          <w:rFonts w:hint="eastAsia"/>
          <w:color w:val="auto"/>
          <w:sz w:val="21"/>
          <w:szCs w:val="21"/>
        </w:rPr>
        <w:t>直放站网管功能要求：</w:t>
      </w:r>
    </w:p>
    <w:p w14:paraId="1BA6C7A2">
      <w:pPr>
        <w:ind w:firstLine="420" w:firstLineChars="200"/>
        <w:rPr>
          <w:color w:val="auto"/>
          <w:sz w:val="21"/>
          <w:szCs w:val="21"/>
        </w:rPr>
      </w:pPr>
      <w:r>
        <w:rPr>
          <w:rFonts w:hint="eastAsia"/>
          <w:color w:val="auto"/>
          <w:sz w:val="21"/>
          <w:szCs w:val="21"/>
        </w:rPr>
        <w:t>（</w:t>
      </w:r>
      <w:r>
        <w:rPr>
          <w:color w:val="auto"/>
          <w:sz w:val="21"/>
          <w:szCs w:val="21"/>
        </w:rPr>
        <w:t>1</w:t>
      </w:r>
      <w:r>
        <w:rPr>
          <w:rFonts w:hint="eastAsia"/>
          <w:color w:val="auto"/>
          <w:sz w:val="21"/>
          <w:szCs w:val="21"/>
        </w:rPr>
        <w:t>）可对近端机进行如下功能的监控：</w:t>
      </w:r>
    </w:p>
    <w:p w14:paraId="68454DF1">
      <w:pPr>
        <w:ind w:firstLine="420" w:firstLineChars="200"/>
        <w:rPr>
          <w:color w:val="auto"/>
          <w:sz w:val="21"/>
          <w:szCs w:val="21"/>
        </w:rPr>
      </w:pPr>
      <w:r>
        <w:rPr>
          <w:rFonts w:hint="eastAsia"/>
          <w:color w:val="auto"/>
          <w:sz w:val="21"/>
          <w:szCs w:val="21"/>
        </w:rPr>
        <w:t>近端机电源状态；</w:t>
      </w:r>
    </w:p>
    <w:p w14:paraId="45CC0A51">
      <w:pPr>
        <w:ind w:firstLine="420" w:firstLineChars="200"/>
        <w:rPr>
          <w:color w:val="auto"/>
          <w:sz w:val="21"/>
          <w:szCs w:val="21"/>
        </w:rPr>
      </w:pPr>
      <w:r>
        <w:rPr>
          <w:rFonts w:hint="eastAsia"/>
          <w:color w:val="auto"/>
          <w:sz w:val="21"/>
          <w:szCs w:val="21"/>
        </w:rPr>
        <w:t>近端机光收发状态；</w:t>
      </w:r>
    </w:p>
    <w:p w14:paraId="3FB49141">
      <w:pPr>
        <w:ind w:firstLine="420" w:firstLineChars="200"/>
        <w:rPr>
          <w:color w:val="auto"/>
          <w:sz w:val="21"/>
          <w:szCs w:val="21"/>
        </w:rPr>
      </w:pPr>
      <w:r>
        <w:rPr>
          <w:rFonts w:hint="eastAsia"/>
          <w:color w:val="auto"/>
          <w:sz w:val="21"/>
          <w:szCs w:val="21"/>
        </w:rPr>
        <w:t>近端机和远端机通信状态检测；</w:t>
      </w:r>
    </w:p>
    <w:p w14:paraId="0D353D90">
      <w:pPr>
        <w:ind w:firstLine="420" w:firstLineChars="200"/>
        <w:rPr>
          <w:color w:val="auto"/>
          <w:sz w:val="21"/>
          <w:szCs w:val="21"/>
        </w:rPr>
      </w:pPr>
      <w:r>
        <w:rPr>
          <w:rFonts w:hint="eastAsia"/>
          <w:color w:val="auto"/>
          <w:sz w:val="21"/>
          <w:szCs w:val="21"/>
        </w:rPr>
        <w:t>（</w:t>
      </w:r>
      <w:r>
        <w:rPr>
          <w:color w:val="auto"/>
          <w:sz w:val="21"/>
          <w:szCs w:val="21"/>
        </w:rPr>
        <w:t>2</w:t>
      </w:r>
      <w:r>
        <w:rPr>
          <w:rFonts w:hint="eastAsia"/>
          <w:color w:val="auto"/>
          <w:sz w:val="21"/>
          <w:szCs w:val="21"/>
        </w:rPr>
        <w:t>）可对远端机进行如下功能的监控：</w:t>
      </w:r>
    </w:p>
    <w:p w14:paraId="4E8773B6">
      <w:pPr>
        <w:ind w:firstLine="420" w:firstLineChars="200"/>
        <w:rPr>
          <w:color w:val="auto"/>
          <w:sz w:val="21"/>
          <w:szCs w:val="21"/>
        </w:rPr>
      </w:pPr>
      <w:r>
        <w:rPr>
          <w:rFonts w:hint="eastAsia"/>
          <w:color w:val="auto"/>
          <w:sz w:val="21"/>
          <w:szCs w:val="21"/>
        </w:rPr>
        <w:t>设备门禁检测；</w:t>
      </w:r>
    </w:p>
    <w:p w14:paraId="3D6EE203">
      <w:pPr>
        <w:ind w:firstLine="420" w:firstLineChars="200"/>
        <w:rPr>
          <w:color w:val="auto"/>
          <w:sz w:val="21"/>
          <w:szCs w:val="21"/>
        </w:rPr>
      </w:pPr>
      <w:r>
        <w:rPr>
          <w:rFonts w:hint="eastAsia"/>
          <w:color w:val="auto"/>
          <w:sz w:val="21"/>
          <w:szCs w:val="21"/>
        </w:rPr>
        <w:t>功放的数控衰减、开关控制，功率调整，功放状态，过功率检测；</w:t>
      </w:r>
    </w:p>
    <w:p w14:paraId="61E15F36">
      <w:pPr>
        <w:ind w:firstLine="420" w:firstLineChars="200"/>
        <w:rPr>
          <w:color w:val="auto"/>
          <w:sz w:val="21"/>
          <w:szCs w:val="21"/>
        </w:rPr>
      </w:pPr>
      <w:r>
        <w:rPr>
          <w:rFonts w:hint="eastAsia"/>
          <w:color w:val="auto"/>
          <w:sz w:val="21"/>
          <w:szCs w:val="21"/>
        </w:rPr>
        <w:t>低噪放的数控衰减，低噪放状态；</w:t>
      </w:r>
    </w:p>
    <w:p w14:paraId="1E0E7775">
      <w:pPr>
        <w:ind w:firstLine="420" w:firstLineChars="200"/>
        <w:rPr>
          <w:color w:val="auto"/>
          <w:sz w:val="21"/>
          <w:szCs w:val="21"/>
        </w:rPr>
      </w:pPr>
      <w:r>
        <w:rPr>
          <w:rFonts w:hint="eastAsia"/>
          <w:color w:val="auto"/>
          <w:sz w:val="21"/>
          <w:szCs w:val="21"/>
        </w:rPr>
        <w:t>门限开关的门限数控衰减，门限值的监控，门限状态；</w:t>
      </w:r>
    </w:p>
    <w:p w14:paraId="2C097901">
      <w:pPr>
        <w:ind w:firstLine="420" w:firstLineChars="200"/>
        <w:rPr>
          <w:color w:val="auto"/>
          <w:sz w:val="21"/>
          <w:szCs w:val="21"/>
        </w:rPr>
      </w:pPr>
      <w:r>
        <w:rPr>
          <w:rFonts w:hint="eastAsia"/>
          <w:color w:val="auto"/>
          <w:sz w:val="21"/>
          <w:szCs w:val="21"/>
        </w:rPr>
        <w:t>电源监测；</w:t>
      </w:r>
    </w:p>
    <w:p w14:paraId="0273E95E">
      <w:pPr>
        <w:ind w:firstLine="420" w:firstLineChars="200"/>
        <w:rPr>
          <w:color w:val="auto"/>
          <w:sz w:val="21"/>
          <w:szCs w:val="21"/>
        </w:rPr>
      </w:pPr>
      <w:r>
        <w:rPr>
          <w:rFonts w:hint="eastAsia"/>
          <w:color w:val="auto"/>
          <w:sz w:val="21"/>
          <w:szCs w:val="21"/>
        </w:rPr>
        <w:t>设备温度检测；</w:t>
      </w:r>
    </w:p>
    <w:p w14:paraId="33CC71FF">
      <w:pPr>
        <w:ind w:firstLine="420" w:firstLineChars="200"/>
        <w:rPr>
          <w:color w:val="auto"/>
          <w:sz w:val="21"/>
          <w:szCs w:val="21"/>
        </w:rPr>
      </w:pPr>
      <w:r>
        <w:rPr>
          <w:rFonts w:hint="eastAsia"/>
          <w:color w:val="auto"/>
          <w:sz w:val="21"/>
          <w:szCs w:val="21"/>
        </w:rPr>
        <w:t>驻波检测；</w:t>
      </w:r>
    </w:p>
    <w:p w14:paraId="453E1BFB">
      <w:pPr>
        <w:ind w:firstLine="420" w:firstLineChars="200"/>
        <w:rPr>
          <w:color w:val="auto"/>
          <w:sz w:val="21"/>
          <w:szCs w:val="21"/>
        </w:rPr>
      </w:pPr>
      <w:r>
        <w:rPr>
          <w:rFonts w:hint="eastAsia"/>
          <w:color w:val="auto"/>
          <w:sz w:val="21"/>
          <w:szCs w:val="21"/>
        </w:rPr>
        <w:t>系统增益检测；</w:t>
      </w:r>
    </w:p>
    <w:p w14:paraId="7AC43C94">
      <w:pPr>
        <w:ind w:firstLine="420" w:firstLineChars="200"/>
        <w:rPr>
          <w:color w:val="auto"/>
          <w:sz w:val="21"/>
          <w:szCs w:val="21"/>
        </w:rPr>
      </w:pPr>
      <w:r>
        <w:rPr>
          <w:rFonts w:hint="eastAsia"/>
          <w:color w:val="auto"/>
          <w:sz w:val="21"/>
          <w:szCs w:val="21"/>
        </w:rPr>
        <w:t>具有漏泄同轴电缆的监测功能；</w:t>
      </w:r>
    </w:p>
    <w:p w14:paraId="5554F625">
      <w:pPr>
        <w:ind w:firstLine="420" w:firstLineChars="200"/>
        <w:rPr>
          <w:color w:val="auto"/>
          <w:sz w:val="21"/>
          <w:szCs w:val="21"/>
        </w:rPr>
      </w:pPr>
      <w:r>
        <w:rPr>
          <w:rFonts w:hint="eastAsia"/>
          <w:color w:val="auto"/>
          <w:sz w:val="21"/>
          <w:szCs w:val="21"/>
        </w:rPr>
        <w:t>（</w:t>
      </w:r>
      <w:r>
        <w:rPr>
          <w:color w:val="auto"/>
          <w:sz w:val="21"/>
          <w:szCs w:val="21"/>
        </w:rPr>
        <w:t>3</w:t>
      </w:r>
      <w:r>
        <w:rPr>
          <w:rFonts w:hint="eastAsia"/>
          <w:color w:val="auto"/>
          <w:sz w:val="21"/>
          <w:szCs w:val="21"/>
        </w:rPr>
        <w:t>）其它功能：</w:t>
      </w:r>
    </w:p>
    <w:p w14:paraId="3773D75D">
      <w:pPr>
        <w:ind w:firstLine="420" w:firstLineChars="200"/>
        <w:rPr>
          <w:color w:val="auto"/>
          <w:sz w:val="21"/>
          <w:szCs w:val="21"/>
        </w:rPr>
      </w:pPr>
      <w:r>
        <w:rPr>
          <w:rFonts w:hint="eastAsia"/>
          <w:color w:val="auto"/>
          <w:sz w:val="21"/>
          <w:szCs w:val="21"/>
        </w:rPr>
        <w:t>直放站配置管理；</w:t>
      </w:r>
    </w:p>
    <w:p w14:paraId="7219D02B">
      <w:pPr>
        <w:ind w:firstLine="420" w:firstLineChars="200"/>
        <w:rPr>
          <w:color w:val="auto"/>
          <w:sz w:val="21"/>
          <w:szCs w:val="21"/>
        </w:rPr>
      </w:pPr>
      <w:r>
        <w:rPr>
          <w:rFonts w:hint="eastAsia"/>
          <w:color w:val="auto"/>
          <w:sz w:val="21"/>
          <w:szCs w:val="21"/>
        </w:rPr>
        <w:t>直放站告警和故障管理；</w:t>
      </w:r>
    </w:p>
    <w:p w14:paraId="6353E31A">
      <w:pPr>
        <w:ind w:firstLine="420" w:firstLineChars="200"/>
        <w:rPr>
          <w:color w:val="auto"/>
          <w:sz w:val="21"/>
          <w:szCs w:val="21"/>
        </w:rPr>
      </w:pPr>
      <w:r>
        <w:rPr>
          <w:rFonts w:hint="eastAsia"/>
          <w:color w:val="auto"/>
          <w:sz w:val="21"/>
          <w:szCs w:val="21"/>
        </w:rPr>
        <w:t>直放站安全管理；</w:t>
      </w:r>
    </w:p>
    <w:p w14:paraId="243C426D">
      <w:pPr>
        <w:ind w:firstLine="420" w:firstLineChars="200"/>
        <w:rPr>
          <w:color w:val="auto"/>
          <w:sz w:val="21"/>
          <w:szCs w:val="21"/>
        </w:rPr>
      </w:pPr>
      <w:r>
        <w:rPr>
          <w:rFonts w:hint="eastAsia"/>
          <w:color w:val="auto"/>
          <w:sz w:val="21"/>
          <w:szCs w:val="21"/>
        </w:rPr>
        <w:t>日志管理和数据维护；</w:t>
      </w:r>
    </w:p>
    <w:p w14:paraId="36CD0B3E">
      <w:pPr>
        <w:ind w:firstLine="420" w:firstLineChars="200"/>
        <w:rPr>
          <w:color w:val="auto"/>
          <w:sz w:val="21"/>
          <w:szCs w:val="21"/>
        </w:rPr>
      </w:pPr>
      <w:r>
        <w:rPr>
          <w:rFonts w:hint="eastAsia"/>
          <w:color w:val="auto"/>
          <w:sz w:val="21"/>
          <w:szCs w:val="21"/>
        </w:rPr>
        <w:t>网络中心自身管理。</w:t>
      </w:r>
    </w:p>
    <w:p w14:paraId="7335137A">
      <w:pPr>
        <w:ind w:firstLine="420" w:firstLineChars="200"/>
        <w:rPr>
          <w:color w:val="auto"/>
          <w:sz w:val="21"/>
          <w:szCs w:val="21"/>
        </w:rPr>
      </w:pPr>
      <w:r>
        <w:rPr>
          <w:rFonts w:hint="eastAsia"/>
          <w:color w:val="auto"/>
          <w:sz w:val="21"/>
          <w:szCs w:val="21"/>
        </w:rPr>
        <w:t>在网管中心可以对每台直放站设备的参数进行设置，可调参数包括：直放站增益、静噪门限值、功放模块开关等。同时可以监测的项目包括：厂家标识、直放站编号、设备类型、主动告警使能标志、门禁系统、输出功率、输出欠功率、整机上下行衰减值、上下行最大增益、光模块状态、电源状态、温度状态等。</w:t>
      </w:r>
    </w:p>
    <w:p w14:paraId="563913E0">
      <w:pPr>
        <w:ind w:firstLine="422" w:firstLineChars="200"/>
        <w:rPr>
          <w:b/>
          <w:bCs/>
          <w:color w:val="auto"/>
          <w:sz w:val="21"/>
          <w:szCs w:val="21"/>
        </w:rPr>
      </w:pPr>
      <w:r>
        <w:rPr>
          <w:rFonts w:hint="eastAsia"/>
          <w:b/>
          <w:bCs/>
          <w:color w:val="auto"/>
          <w:sz w:val="21"/>
          <w:szCs w:val="21"/>
        </w:rPr>
        <w:t>6.2</w:t>
      </w:r>
      <w:r>
        <w:rPr>
          <w:b/>
          <w:bCs/>
          <w:color w:val="auto"/>
          <w:sz w:val="21"/>
          <w:szCs w:val="21"/>
        </w:rPr>
        <w:t xml:space="preserve">.10  </w:t>
      </w:r>
      <w:r>
        <w:rPr>
          <w:rFonts w:hint="eastAsia"/>
          <w:b/>
          <w:bCs/>
          <w:color w:val="auto"/>
          <w:sz w:val="21"/>
          <w:szCs w:val="21"/>
        </w:rPr>
        <w:t>天馈系统</w:t>
      </w:r>
    </w:p>
    <w:p w14:paraId="66BC4938">
      <w:pPr>
        <w:ind w:firstLine="420" w:firstLineChars="200"/>
        <w:rPr>
          <w:color w:val="auto"/>
          <w:sz w:val="21"/>
          <w:szCs w:val="21"/>
        </w:rPr>
      </w:pPr>
      <w:r>
        <w:rPr>
          <w:rFonts w:hint="eastAsia"/>
          <w:color w:val="auto"/>
          <w:sz w:val="21"/>
          <w:szCs w:val="21"/>
        </w:rPr>
        <w:t>天馈系统包括天线、馈线、避雷器、功分器、接头以及跳线等。</w:t>
      </w:r>
    </w:p>
    <w:p w14:paraId="6051E92B">
      <w:pPr>
        <w:ind w:firstLine="420" w:firstLineChars="200"/>
        <w:rPr>
          <w:color w:val="auto"/>
          <w:sz w:val="21"/>
          <w:szCs w:val="21"/>
        </w:rPr>
      </w:pPr>
      <w:r>
        <w:rPr>
          <w:rFonts w:hint="eastAsia"/>
          <w:color w:val="auto"/>
          <w:sz w:val="21"/>
          <w:szCs w:val="21"/>
        </w:rPr>
        <w:t>天线电气性能要求见下表：</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628"/>
        <w:gridCol w:w="4698"/>
      </w:tblGrid>
      <w:tr w14:paraId="34229A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2179" w:type="pct"/>
            <w:tcMar>
              <w:top w:w="0" w:type="dxa"/>
              <w:left w:w="0" w:type="dxa"/>
              <w:right w:w="0" w:type="dxa"/>
            </w:tcMar>
            <w:vAlign w:val="center"/>
          </w:tcPr>
          <w:p w14:paraId="416B122E">
            <w:pPr>
              <w:snapToGrid w:val="0"/>
              <w:jc w:val="center"/>
              <w:rPr>
                <w:color w:val="auto"/>
                <w:sz w:val="21"/>
                <w:szCs w:val="21"/>
              </w:rPr>
            </w:pPr>
            <w:r>
              <w:rPr>
                <w:rFonts w:hint="eastAsia"/>
                <w:color w:val="auto"/>
                <w:sz w:val="21"/>
                <w:szCs w:val="21"/>
              </w:rPr>
              <w:t>特性参数</w:t>
            </w:r>
          </w:p>
        </w:tc>
        <w:tc>
          <w:tcPr>
            <w:tcW w:w="2821" w:type="pct"/>
            <w:tcMar>
              <w:top w:w="0" w:type="dxa"/>
              <w:left w:w="0" w:type="dxa"/>
              <w:right w:w="0" w:type="dxa"/>
            </w:tcMar>
            <w:vAlign w:val="center"/>
          </w:tcPr>
          <w:p w14:paraId="43A53658">
            <w:pPr>
              <w:snapToGrid w:val="0"/>
              <w:jc w:val="center"/>
              <w:rPr>
                <w:color w:val="auto"/>
                <w:sz w:val="21"/>
                <w:szCs w:val="21"/>
              </w:rPr>
            </w:pPr>
            <w:r>
              <w:rPr>
                <w:rFonts w:hint="eastAsia"/>
                <w:color w:val="auto"/>
                <w:sz w:val="21"/>
                <w:szCs w:val="21"/>
              </w:rPr>
              <w:t>指  标</w:t>
            </w:r>
          </w:p>
        </w:tc>
      </w:tr>
      <w:tr w14:paraId="1FE8D6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179" w:type="pct"/>
            <w:tcMar>
              <w:top w:w="0" w:type="dxa"/>
              <w:left w:w="0" w:type="dxa"/>
              <w:right w:w="0" w:type="dxa"/>
            </w:tcMar>
            <w:vAlign w:val="center"/>
          </w:tcPr>
          <w:p w14:paraId="2E871927">
            <w:pPr>
              <w:snapToGrid w:val="0"/>
              <w:jc w:val="center"/>
              <w:rPr>
                <w:color w:val="auto"/>
                <w:sz w:val="21"/>
                <w:szCs w:val="21"/>
              </w:rPr>
            </w:pPr>
            <w:r>
              <w:rPr>
                <w:rFonts w:hint="eastAsia"/>
                <w:color w:val="auto"/>
                <w:sz w:val="21"/>
                <w:szCs w:val="21"/>
              </w:rPr>
              <w:t>频率范围</w:t>
            </w:r>
          </w:p>
        </w:tc>
        <w:tc>
          <w:tcPr>
            <w:tcW w:w="2821" w:type="pct"/>
            <w:tcMar>
              <w:top w:w="0" w:type="dxa"/>
              <w:left w:w="0" w:type="dxa"/>
              <w:right w:w="0" w:type="dxa"/>
            </w:tcMar>
            <w:vAlign w:val="center"/>
          </w:tcPr>
          <w:p w14:paraId="0FDCAD16">
            <w:pPr>
              <w:snapToGrid w:val="0"/>
              <w:jc w:val="center"/>
              <w:rPr>
                <w:color w:val="auto"/>
                <w:sz w:val="21"/>
                <w:szCs w:val="21"/>
              </w:rPr>
            </w:pPr>
            <w:r>
              <w:rPr>
                <w:rFonts w:hint="eastAsia"/>
                <w:color w:val="auto"/>
                <w:sz w:val="21"/>
                <w:szCs w:val="21"/>
              </w:rPr>
              <w:t>400</w:t>
            </w:r>
            <w:r>
              <w:rPr>
                <w:rFonts w:hint="eastAsia" w:ascii="宋体" w:hAnsi="宋体"/>
                <w:color w:val="auto"/>
                <w:sz w:val="21"/>
                <w:szCs w:val="21"/>
              </w:rPr>
              <w:t>～</w:t>
            </w:r>
            <w:r>
              <w:rPr>
                <w:rFonts w:hint="eastAsia"/>
                <w:color w:val="auto"/>
                <w:sz w:val="21"/>
                <w:szCs w:val="21"/>
              </w:rPr>
              <w:t>423.50MHz</w:t>
            </w:r>
          </w:p>
        </w:tc>
      </w:tr>
      <w:tr w14:paraId="03817F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179" w:type="pct"/>
            <w:tcMar>
              <w:top w:w="0" w:type="dxa"/>
              <w:left w:w="0" w:type="dxa"/>
              <w:right w:w="0" w:type="dxa"/>
            </w:tcMar>
            <w:vAlign w:val="center"/>
          </w:tcPr>
          <w:p w14:paraId="426C2946">
            <w:pPr>
              <w:snapToGrid w:val="0"/>
              <w:jc w:val="center"/>
              <w:rPr>
                <w:color w:val="auto"/>
                <w:sz w:val="21"/>
                <w:szCs w:val="21"/>
              </w:rPr>
            </w:pPr>
            <w:r>
              <w:rPr>
                <w:rFonts w:hint="eastAsia"/>
                <w:color w:val="auto"/>
                <w:sz w:val="21"/>
                <w:szCs w:val="21"/>
              </w:rPr>
              <w:t>增益</w:t>
            </w:r>
          </w:p>
        </w:tc>
        <w:tc>
          <w:tcPr>
            <w:tcW w:w="2821" w:type="pct"/>
            <w:tcMar>
              <w:top w:w="0" w:type="dxa"/>
              <w:left w:w="0" w:type="dxa"/>
              <w:right w:w="0" w:type="dxa"/>
            </w:tcMar>
            <w:vAlign w:val="center"/>
          </w:tcPr>
          <w:p w14:paraId="4A78487B">
            <w:pPr>
              <w:snapToGrid w:val="0"/>
              <w:jc w:val="center"/>
              <w:rPr>
                <w:color w:val="auto"/>
                <w:sz w:val="21"/>
                <w:szCs w:val="21"/>
              </w:rPr>
            </w:pPr>
            <w:r>
              <w:rPr>
                <w:rFonts w:hint="eastAsia" w:ascii="宋体" w:hAnsi="宋体"/>
                <w:color w:val="auto"/>
                <w:sz w:val="21"/>
                <w:szCs w:val="21"/>
              </w:rPr>
              <w:t>≥</w:t>
            </w:r>
            <w:r>
              <w:rPr>
                <w:rFonts w:hint="eastAsia"/>
                <w:color w:val="auto"/>
                <w:sz w:val="21"/>
                <w:szCs w:val="21"/>
              </w:rPr>
              <w:t>12dBi</w:t>
            </w:r>
          </w:p>
        </w:tc>
      </w:tr>
      <w:tr w14:paraId="284667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179" w:type="pct"/>
            <w:tcMar>
              <w:top w:w="0" w:type="dxa"/>
              <w:left w:w="0" w:type="dxa"/>
              <w:right w:w="0" w:type="dxa"/>
            </w:tcMar>
            <w:vAlign w:val="center"/>
          </w:tcPr>
          <w:p w14:paraId="1A0B3C3B">
            <w:pPr>
              <w:snapToGrid w:val="0"/>
              <w:jc w:val="center"/>
              <w:rPr>
                <w:color w:val="auto"/>
                <w:sz w:val="21"/>
                <w:szCs w:val="21"/>
              </w:rPr>
            </w:pPr>
            <w:r>
              <w:rPr>
                <w:rFonts w:hint="eastAsia"/>
                <w:color w:val="auto"/>
                <w:sz w:val="21"/>
                <w:szCs w:val="21"/>
              </w:rPr>
              <w:t>前后功率比</w:t>
            </w:r>
          </w:p>
        </w:tc>
        <w:tc>
          <w:tcPr>
            <w:tcW w:w="2821" w:type="pct"/>
            <w:tcMar>
              <w:top w:w="0" w:type="dxa"/>
              <w:left w:w="0" w:type="dxa"/>
              <w:right w:w="0" w:type="dxa"/>
            </w:tcMar>
            <w:vAlign w:val="center"/>
          </w:tcPr>
          <w:p w14:paraId="3C126200">
            <w:pPr>
              <w:snapToGrid w:val="0"/>
              <w:jc w:val="center"/>
              <w:rPr>
                <w:color w:val="auto"/>
                <w:sz w:val="21"/>
                <w:szCs w:val="21"/>
              </w:rPr>
            </w:pPr>
            <w:r>
              <w:rPr>
                <w:rFonts w:hint="eastAsia"/>
                <w:color w:val="auto"/>
                <w:sz w:val="21"/>
                <w:szCs w:val="21"/>
              </w:rPr>
              <w:t>＞30dB</w:t>
            </w:r>
          </w:p>
        </w:tc>
      </w:tr>
      <w:tr w14:paraId="0AE184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179" w:type="pct"/>
            <w:tcMar>
              <w:top w:w="0" w:type="dxa"/>
              <w:left w:w="0" w:type="dxa"/>
              <w:right w:w="0" w:type="dxa"/>
            </w:tcMar>
            <w:vAlign w:val="center"/>
          </w:tcPr>
          <w:p w14:paraId="2FF106A2">
            <w:pPr>
              <w:snapToGrid w:val="0"/>
              <w:jc w:val="center"/>
              <w:rPr>
                <w:color w:val="auto"/>
                <w:sz w:val="21"/>
                <w:szCs w:val="21"/>
              </w:rPr>
            </w:pPr>
            <w:r>
              <w:rPr>
                <w:rFonts w:hint="eastAsia"/>
                <w:color w:val="auto"/>
                <w:sz w:val="21"/>
                <w:szCs w:val="21"/>
              </w:rPr>
              <w:t>隔离度</w:t>
            </w:r>
          </w:p>
        </w:tc>
        <w:tc>
          <w:tcPr>
            <w:tcW w:w="2821" w:type="pct"/>
            <w:tcMar>
              <w:top w:w="0" w:type="dxa"/>
              <w:left w:w="0" w:type="dxa"/>
              <w:right w:w="0" w:type="dxa"/>
            </w:tcMar>
            <w:vAlign w:val="center"/>
          </w:tcPr>
          <w:p w14:paraId="4C985429">
            <w:pPr>
              <w:snapToGrid w:val="0"/>
              <w:jc w:val="center"/>
              <w:rPr>
                <w:color w:val="auto"/>
                <w:sz w:val="21"/>
                <w:szCs w:val="21"/>
              </w:rPr>
            </w:pPr>
            <w:r>
              <w:rPr>
                <w:rFonts w:hint="eastAsia"/>
                <w:color w:val="auto"/>
                <w:sz w:val="21"/>
                <w:szCs w:val="21"/>
              </w:rPr>
              <w:t>＞30dB</w:t>
            </w:r>
          </w:p>
        </w:tc>
      </w:tr>
      <w:tr w14:paraId="1AD32E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179" w:type="pct"/>
            <w:tcMar>
              <w:top w:w="0" w:type="dxa"/>
              <w:left w:w="0" w:type="dxa"/>
              <w:right w:w="0" w:type="dxa"/>
            </w:tcMar>
            <w:vAlign w:val="center"/>
          </w:tcPr>
          <w:p w14:paraId="08A634DE">
            <w:pPr>
              <w:snapToGrid w:val="0"/>
              <w:jc w:val="center"/>
              <w:rPr>
                <w:color w:val="auto"/>
                <w:sz w:val="21"/>
                <w:szCs w:val="21"/>
              </w:rPr>
            </w:pPr>
            <w:r>
              <w:rPr>
                <w:rFonts w:hint="eastAsia"/>
                <w:color w:val="auto"/>
                <w:sz w:val="21"/>
                <w:szCs w:val="21"/>
              </w:rPr>
              <w:t>阻抗</w:t>
            </w:r>
          </w:p>
        </w:tc>
        <w:tc>
          <w:tcPr>
            <w:tcW w:w="2821" w:type="pct"/>
            <w:tcMar>
              <w:top w:w="0" w:type="dxa"/>
              <w:left w:w="0" w:type="dxa"/>
              <w:right w:w="0" w:type="dxa"/>
            </w:tcMar>
            <w:vAlign w:val="center"/>
          </w:tcPr>
          <w:p w14:paraId="6B46EBDB">
            <w:pPr>
              <w:snapToGrid w:val="0"/>
              <w:jc w:val="center"/>
              <w:rPr>
                <w:color w:val="auto"/>
                <w:sz w:val="21"/>
                <w:szCs w:val="21"/>
              </w:rPr>
            </w:pPr>
            <w:r>
              <w:rPr>
                <w:rFonts w:hint="eastAsia"/>
                <w:color w:val="auto"/>
                <w:sz w:val="21"/>
                <w:szCs w:val="21"/>
              </w:rPr>
              <w:t>50Ω</w:t>
            </w:r>
          </w:p>
        </w:tc>
      </w:tr>
      <w:tr w14:paraId="3BAF90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179" w:type="pct"/>
            <w:tcMar>
              <w:top w:w="0" w:type="dxa"/>
              <w:left w:w="0" w:type="dxa"/>
              <w:right w:w="0" w:type="dxa"/>
            </w:tcMar>
            <w:vAlign w:val="center"/>
          </w:tcPr>
          <w:p w14:paraId="329DDF0A">
            <w:pPr>
              <w:snapToGrid w:val="0"/>
              <w:jc w:val="center"/>
              <w:rPr>
                <w:color w:val="auto"/>
                <w:sz w:val="21"/>
                <w:szCs w:val="21"/>
              </w:rPr>
            </w:pPr>
            <w:r>
              <w:rPr>
                <w:rFonts w:hint="eastAsia"/>
                <w:color w:val="auto"/>
                <w:sz w:val="21"/>
                <w:szCs w:val="21"/>
              </w:rPr>
              <w:t>VSWR</w:t>
            </w:r>
          </w:p>
        </w:tc>
        <w:tc>
          <w:tcPr>
            <w:tcW w:w="2821" w:type="pct"/>
            <w:tcMar>
              <w:top w:w="0" w:type="dxa"/>
              <w:left w:w="0" w:type="dxa"/>
              <w:right w:w="0" w:type="dxa"/>
            </w:tcMar>
            <w:vAlign w:val="center"/>
          </w:tcPr>
          <w:p w14:paraId="6D8252CE">
            <w:pPr>
              <w:snapToGrid w:val="0"/>
              <w:jc w:val="center"/>
              <w:rPr>
                <w:color w:val="auto"/>
                <w:sz w:val="21"/>
                <w:szCs w:val="21"/>
              </w:rPr>
            </w:pPr>
            <w:r>
              <w:rPr>
                <w:rFonts w:hint="eastAsia"/>
                <w:color w:val="auto"/>
                <w:sz w:val="21"/>
                <w:szCs w:val="21"/>
              </w:rPr>
              <w:t>＜1.5</w:t>
            </w:r>
          </w:p>
        </w:tc>
      </w:tr>
    </w:tbl>
    <w:p w14:paraId="5940210E">
      <w:pPr>
        <w:spacing w:before="240"/>
        <w:ind w:firstLine="420" w:firstLineChars="200"/>
        <w:rPr>
          <w:color w:val="auto"/>
          <w:sz w:val="21"/>
          <w:szCs w:val="21"/>
        </w:rPr>
      </w:pPr>
      <w:r>
        <w:rPr>
          <w:rFonts w:hint="eastAsia"/>
          <w:color w:val="auto"/>
          <w:sz w:val="21"/>
          <w:szCs w:val="21"/>
        </w:rPr>
        <w:t>天线机械特性要求见下表：</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882"/>
        <w:gridCol w:w="1850"/>
        <w:gridCol w:w="3594"/>
      </w:tblGrid>
      <w:tr w14:paraId="15F706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842" w:type="pct"/>
            <w:gridSpan w:val="2"/>
            <w:tcMar>
              <w:top w:w="0" w:type="dxa"/>
              <w:left w:w="0" w:type="dxa"/>
              <w:right w:w="0" w:type="dxa"/>
            </w:tcMar>
            <w:vAlign w:val="center"/>
          </w:tcPr>
          <w:p w14:paraId="0C4107AE">
            <w:pPr>
              <w:snapToGrid w:val="0"/>
              <w:jc w:val="center"/>
              <w:rPr>
                <w:color w:val="auto"/>
                <w:sz w:val="21"/>
                <w:szCs w:val="21"/>
              </w:rPr>
            </w:pPr>
            <w:r>
              <w:rPr>
                <w:rFonts w:hint="eastAsia"/>
                <w:color w:val="auto"/>
                <w:sz w:val="21"/>
                <w:szCs w:val="21"/>
              </w:rPr>
              <w:t>温度范围（℃）</w:t>
            </w:r>
          </w:p>
        </w:tc>
        <w:tc>
          <w:tcPr>
            <w:tcW w:w="2158" w:type="pct"/>
            <w:tcMar>
              <w:top w:w="0" w:type="dxa"/>
              <w:left w:w="0" w:type="dxa"/>
              <w:right w:w="0" w:type="dxa"/>
            </w:tcMar>
            <w:vAlign w:val="center"/>
          </w:tcPr>
          <w:p w14:paraId="35D05FC6">
            <w:pPr>
              <w:snapToGrid w:val="0"/>
              <w:jc w:val="center"/>
              <w:rPr>
                <w:color w:val="auto"/>
                <w:sz w:val="21"/>
                <w:szCs w:val="21"/>
              </w:rPr>
            </w:pPr>
            <w:r>
              <w:rPr>
                <w:rFonts w:hint="eastAsia"/>
                <w:color w:val="auto"/>
                <w:sz w:val="21"/>
                <w:szCs w:val="21"/>
              </w:rPr>
              <w:t>-55</w:t>
            </w:r>
            <w:r>
              <w:rPr>
                <w:rFonts w:hint="eastAsia" w:ascii="宋体" w:hAnsi="宋体"/>
                <w:color w:val="auto"/>
                <w:sz w:val="21"/>
                <w:szCs w:val="21"/>
              </w:rPr>
              <w:t>～</w:t>
            </w:r>
            <w:r>
              <w:rPr>
                <w:rFonts w:hint="eastAsia"/>
                <w:color w:val="auto"/>
                <w:sz w:val="21"/>
                <w:szCs w:val="21"/>
              </w:rPr>
              <w:t>+60</w:t>
            </w:r>
          </w:p>
        </w:tc>
      </w:tr>
      <w:tr w14:paraId="4C62F8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842" w:type="pct"/>
            <w:gridSpan w:val="2"/>
            <w:tcMar>
              <w:top w:w="0" w:type="dxa"/>
              <w:left w:w="0" w:type="dxa"/>
              <w:right w:w="0" w:type="dxa"/>
            </w:tcMar>
            <w:vAlign w:val="center"/>
          </w:tcPr>
          <w:p w14:paraId="40B96382">
            <w:pPr>
              <w:snapToGrid w:val="0"/>
              <w:jc w:val="center"/>
              <w:rPr>
                <w:color w:val="auto"/>
                <w:sz w:val="21"/>
                <w:szCs w:val="21"/>
              </w:rPr>
            </w:pPr>
            <w:r>
              <w:rPr>
                <w:rFonts w:hint="eastAsia"/>
                <w:color w:val="auto"/>
                <w:sz w:val="21"/>
                <w:szCs w:val="21"/>
              </w:rPr>
              <w:t>抗风速（km/h）</w:t>
            </w:r>
          </w:p>
        </w:tc>
        <w:tc>
          <w:tcPr>
            <w:tcW w:w="2158" w:type="pct"/>
            <w:tcMar>
              <w:top w:w="0" w:type="dxa"/>
              <w:left w:w="0" w:type="dxa"/>
              <w:right w:w="0" w:type="dxa"/>
            </w:tcMar>
            <w:vAlign w:val="center"/>
          </w:tcPr>
          <w:p w14:paraId="232B3A29">
            <w:pPr>
              <w:snapToGrid w:val="0"/>
              <w:jc w:val="center"/>
              <w:rPr>
                <w:color w:val="auto"/>
                <w:sz w:val="21"/>
                <w:szCs w:val="21"/>
              </w:rPr>
            </w:pPr>
            <w:r>
              <w:rPr>
                <w:rFonts w:hint="eastAsia" w:ascii="宋体" w:hAnsi="宋体"/>
                <w:color w:val="auto"/>
                <w:sz w:val="21"/>
                <w:szCs w:val="21"/>
              </w:rPr>
              <w:t>≥</w:t>
            </w:r>
            <w:r>
              <w:rPr>
                <w:rFonts w:hint="eastAsia"/>
                <w:color w:val="auto"/>
                <w:sz w:val="21"/>
                <w:szCs w:val="21"/>
              </w:rPr>
              <w:t>200</w:t>
            </w:r>
          </w:p>
        </w:tc>
      </w:tr>
      <w:tr w14:paraId="256366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731" w:type="pct"/>
            <w:vMerge w:val="restart"/>
            <w:tcMar>
              <w:top w:w="0" w:type="dxa"/>
              <w:left w:w="0" w:type="dxa"/>
              <w:right w:w="0" w:type="dxa"/>
            </w:tcMar>
            <w:vAlign w:val="center"/>
          </w:tcPr>
          <w:p w14:paraId="0BEDF75B">
            <w:pPr>
              <w:snapToGrid w:val="0"/>
              <w:jc w:val="center"/>
              <w:rPr>
                <w:color w:val="auto"/>
                <w:sz w:val="21"/>
                <w:szCs w:val="21"/>
              </w:rPr>
            </w:pPr>
            <w:r>
              <w:rPr>
                <w:rFonts w:hint="eastAsia"/>
                <w:color w:val="auto"/>
                <w:sz w:val="21"/>
                <w:szCs w:val="21"/>
              </w:rPr>
              <w:t>调整范围</w:t>
            </w:r>
          </w:p>
        </w:tc>
        <w:tc>
          <w:tcPr>
            <w:tcW w:w="1111" w:type="pct"/>
            <w:tcMar>
              <w:top w:w="0" w:type="dxa"/>
              <w:left w:w="0" w:type="dxa"/>
              <w:right w:w="0" w:type="dxa"/>
            </w:tcMar>
            <w:vAlign w:val="center"/>
          </w:tcPr>
          <w:p w14:paraId="43371F79">
            <w:pPr>
              <w:snapToGrid w:val="0"/>
              <w:jc w:val="center"/>
              <w:rPr>
                <w:color w:val="auto"/>
                <w:sz w:val="21"/>
                <w:szCs w:val="21"/>
              </w:rPr>
            </w:pPr>
            <w:r>
              <w:rPr>
                <w:rFonts w:hint="eastAsia"/>
                <w:color w:val="auto"/>
                <w:sz w:val="21"/>
                <w:szCs w:val="21"/>
              </w:rPr>
              <w:t>水平</w:t>
            </w:r>
          </w:p>
        </w:tc>
        <w:tc>
          <w:tcPr>
            <w:tcW w:w="2158" w:type="pct"/>
            <w:tcMar>
              <w:top w:w="0" w:type="dxa"/>
              <w:left w:w="0" w:type="dxa"/>
              <w:right w:w="0" w:type="dxa"/>
            </w:tcMar>
            <w:vAlign w:val="center"/>
          </w:tcPr>
          <w:p w14:paraId="34BF2E63">
            <w:pPr>
              <w:snapToGrid w:val="0"/>
              <w:jc w:val="center"/>
              <w:rPr>
                <w:color w:val="auto"/>
                <w:sz w:val="21"/>
                <w:szCs w:val="21"/>
              </w:rPr>
            </w:pPr>
            <w:r>
              <w:rPr>
                <w:rFonts w:hint="eastAsia"/>
                <w:color w:val="auto"/>
                <w:sz w:val="21"/>
                <w:szCs w:val="21"/>
              </w:rPr>
              <w:t>360°</w:t>
            </w:r>
          </w:p>
        </w:tc>
      </w:tr>
      <w:tr w14:paraId="2FB68B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731" w:type="pct"/>
            <w:vMerge w:val="continue"/>
            <w:tcMar>
              <w:top w:w="0" w:type="dxa"/>
              <w:left w:w="0" w:type="dxa"/>
              <w:right w:w="0" w:type="dxa"/>
            </w:tcMar>
            <w:vAlign w:val="center"/>
          </w:tcPr>
          <w:p w14:paraId="7150E0FD">
            <w:pPr>
              <w:snapToGrid w:val="0"/>
              <w:jc w:val="center"/>
              <w:rPr>
                <w:color w:val="auto"/>
                <w:sz w:val="21"/>
                <w:szCs w:val="21"/>
              </w:rPr>
            </w:pPr>
          </w:p>
        </w:tc>
        <w:tc>
          <w:tcPr>
            <w:tcW w:w="1111" w:type="pct"/>
            <w:tcMar>
              <w:top w:w="0" w:type="dxa"/>
              <w:left w:w="0" w:type="dxa"/>
              <w:right w:w="0" w:type="dxa"/>
            </w:tcMar>
            <w:vAlign w:val="center"/>
          </w:tcPr>
          <w:p w14:paraId="46D4392E">
            <w:pPr>
              <w:snapToGrid w:val="0"/>
              <w:jc w:val="center"/>
              <w:rPr>
                <w:color w:val="auto"/>
                <w:sz w:val="21"/>
                <w:szCs w:val="21"/>
              </w:rPr>
            </w:pPr>
            <w:r>
              <w:rPr>
                <w:rFonts w:hint="eastAsia"/>
                <w:color w:val="auto"/>
                <w:sz w:val="21"/>
                <w:szCs w:val="21"/>
              </w:rPr>
              <w:t>俯仰</w:t>
            </w:r>
          </w:p>
        </w:tc>
        <w:tc>
          <w:tcPr>
            <w:tcW w:w="2158" w:type="pct"/>
            <w:tcMar>
              <w:top w:w="0" w:type="dxa"/>
              <w:left w:w="0" w:type="dxa"/>
              <w:right w:w="0" w:type="dxa"/>
            </w:tcMar>
            <w:vAlign w:val="center"/>
          </w:tcPr>
          <w:p w14:paraId="56A26982">
            <w:pPr>
              <w:snapToGrid w:val="0"/>
              <w:jc w:val="center"/>
              <w:rPr>
                <w:color w:val="auto"/>
                <w:sz w:val="21"/>
                <w:szCs w:val="21"/>
              </w:rPr>
            </w:pPr>
            <w:r>
              <w:rPr>
                <w:rFonts w:hint="eastAsia"/>
                <w:color w:val="auto"/>
                <w:sz w:val="21"/>
                <w:szCs w:val="21"/>
              </w:rPr>
              <w:t>0°</w:t>
            </w:r>
            <w:r>
              <w:rPr>
                <w:rFonts w:hint="eastAsia" w:ascii="宋体" w:hAnsi="宋体"/>
                <w:color w:val="auto"/>
                <w:sz w:val="21"/>
                <w:szCs w:val="21"/>
              </w:rPr>
              <w:t>～</w:t>
            </w:r>
            <w:r>
              <w:rPr>
                <w:rFonts w:hint="eastAsia"/>
                <w:color w:val="auto"/>
                <w:sz w:val="21"/>
                <w:szCs w:val="21"/>
              </w:rPr>
              <w:t xml:space="preserve"> 11°</w:t>
            </w:r>
          </w:p>
        </w:tc>
      </w:tr>
      <w:tr w14:paraId="2F61A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842" w:type="pct"/>
            <w:gridSpan w:val="2"/>
            <w:tcMar>
              <w:top w:w="0" w:type="dxa"/>
              <w:left w:w="0" w:type="dxa"/>
              <w:right w:w="0" w:type="dxa"/>
            </w:tcMar>
            <w:vAlign w:val="center"/>
          </w:tcPr>
          <w:p w14:paraId="0907F23C">
            <w:pPr>
              <w:snapToGrid w:val="0"/>
              <w:jc w:val="center"/>
              <w:rPr>
                <w:color w:val="auto"/>
                <w:sz w:val="21"/>
                <w:szCs w:val="21"/>
              </w:rPr>
            </w:pPr>
            <w:r>
              <w:rPr>
                <w:rFonts w:hint="eastAsia"/>
                <w:color w:val="auto"/>
                <w:sz w:val="21"/>
                <w:szCs w:val="21"/>
              </w:rPr>
              <w:t>冰负荷</w:t>
            </w:r>
          </w:p>
        </w:tc>
        <w:tc>
          <w:tcPr>
            <w:tcW w:w="2158" w:type="pct"/>
            <w:tcMar>
              <w:top w:w="0" w:type="dxa"/>
              <w:left w:w="0" w:type="dxa"/>
              <w:right w:w="0" w:type="dxa"/>
            </w:tcMar>
            <w:vAlign w:val="center"/>
          </w:tcPr>
          <w:p w14:paraId="10E4AA30">
            <w:pPr>
              <w:snapToGrid w:val="0"/>
              <w:jc w:val="center"/>
              <w:rPr>
                <w:color w:val="auto"/>
                <w:sz w:val="21"/>
                <w:szCs w:val="21"/>
              </w:rPr>
            </w:pPr>
            <w:r>
              <w:rPr>
                <w:rFonts w:hint="eastAsia"/>
                <w:color w:val="auto"/>
                <w:sz w:val="21"/>
                <w:szCs w:val="21"/>
              </w:rPr>
              <w:t>冰厚100mm</w:t>
            </w:r>
          </w:p>
        </w:tc>
      </w:tr>
      <w:tr w14:paraId="2837A7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842" w:type="pct"/>
            <w:gridSpan w:val="2"/>
            <w:tcMar>
              <w:top w:w="0" w:type="dxa"/>
              <w:left w:w="0" w:type="dxa"/>
              <w:right w:w="0" w:type="dxa"/>
            </w:tcMar>
            <w:vAlign w:val="center"/>
          </w:tcPr>
          <w:p w14:paraId="4FEB7513">
            <w:pPr>
              <w:snapToGrid w:val="0"/>
              <w:jc w:val="center"/>
              <w:rPr>
                <w:color w:val="auto"/>
                <w:sz w:val="21"/>
                <w:szCs w:val="21"/>
              </w:rPr>
            </w:pPr>
            <w:r>
              <w:rPr>
                <w:rFonts w:hint="eastAsia"/>
                <w:color w:val="auto"/>
                <w:sz w:val="21"/>
                <w:szCs w:val="21"/>
              </w:rPr>
              <w:t>抱杆直径（mm）</w:t>
            </w:r>
          </w:p>
        </w:tc>
        <w:tc>
          <w:tcPr>
            <w:tcW w:w="2158" w:type="pct"/>
            <w:tcMar>
              <w:top w:w="0" w:type="dxa"/>
              <w:left w:w="0" w:type="dxa"/>
              <w:right w:w="0" w:type="dxa"/>
            </w:tcMar>
            <w:vAlign w:val="center"/>
          </w:tcPr>
          <w:p w14:paraId="16F74C52">
            <w:pPr>
              <w:snapToGrid w:val="0"/>
              <w:jc w:val="center"/>
              <w:rPr>
                <w:color w:val="auto"/>
                <w:sz w:val="21"/>
                <w:szCs w:val="21"/>
              </w:rPr>
            </w:pPr>
            <w:r>
              <w:rPr>
                <w:rFonts w:hint="eastAsia" w:ascii="宋体" w:hAnsi="宋体"/>
                <w:color w:val="auto"/>
                <w:sz w:val="21"/>
                <w:szCs w:val="21"/>
              </w:rPr>
              <w:t>Φ</w:t>
            </w:r>
            <w:r>
              <w:rPr>
                <w:rFonts w:hint="eastAsia"/>
                <w:color w:val="auto"/>
                <w:sz w:val="21"/>
                <w:szCs w:val="21"/>
              </w:rPr>
              <w:t>50</w:t>
            </w:r>
            <w:r>
              <w:rPr>
                <w:rFonts w:hint="eastAsia" w:ascii="宋体" w:hAnsi="宋体"/>
                <w:color w:val="auto"/>
                <w:sz w:val="21"/>
                <w:szCs w:val="21"/>
              </w:rPr>
              <w:t>～</w:t>
            </w:r>
            <w:r>
              <w:rPr>
                <w:rFonts w:hint="eastAsia"/>
                <w:color w:val="auto"/>
                <w:sz w:val="21"/>
                <w:szCs w:val="21"/>
              </w:rPr>
              <w:t>115</w:t>
            </w:r>
          </w:p>
        </w:tc>
      </w:tr>
    </w:tbl>
    <w:p w14:paraId="7A191F30">
      <w:pPr>
        <w:spacing w:before="120"/>
        <w:ind w:firstLine="420" w:firstLineChars="200"/>
        <w:rPr>
          <w:color w:val="auto"/>
          <w:sz w:val="21"/>
          <w:szCs w:val="21"/>
        </w:rPr>
      </w:pPr>
      <w:r>
        <w:rPr>
          <w:rFonts w:hint="eastAsia"/>
          <w:color w:val="auto"/>
          <w:sz w:val="21"/>
          <w:szCs w:val="21"/>
        </w:rPr>
        <w:t>馈线主要电气性能指标见下表：</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404"/>
        <w:gridCol w:w="1922"/>
      </w:tblGrid>
      <w:tr w14:paraId="56601D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846" w:type="pct"/>
            <w:tcMar>
              <w:top w:w="0" w:type="dxa"/>
              <w:left w:w="0" w:type="dxa"/>
              <w:right w:w="0" w:type="dxa"/>
            </w:tcMar>
            <w:vAlign w:val="center"/>
          </w:tcPr>
          <w:p w14:paraId="30CE70D2">
            <w:pPr>
              <w:snapToGrid w:val="0"/>
              <w:jc w:val="center"/>
              <w:rPr>
                <w:color w:val="auto"/>
                <w:sz w:val="21"/>
                <w:szCs w:val="21"/>
              </w:rPr>
            </w:pPr>
            <w:r>
              <w:rPr>
                <w:rFonts w:hint="eastAsia"/>
                <w:color w:val="auto"/>
                <w:sz w:val="21"/>
                <w:szCs w:val="21"/>
              </w:rPr>
              <w:t>规格项目</w:t>
            </w:r>
          </w:p>
        </w:tc>
        <w:tc>
          <w:tcPr>
            <w:tcW w:w="1154" w:type="pct"/>
            <w:tcMar>
              <w:top w:w="0" w:type="dxa"/>
              <w:left w:w="0" w:type="dxa"/>
              <w:right w:w="0" w:type="dxa"/>
            </w:tcMar>
            <w:vAlign w:val="center"/>
          </w:tcPr>
          <w:p w14:paraId="7ACAEFD8">
            <w:pPr>
              <w:snapToGrid w:val="0"/>
              <w:jc w:val="center"/>
              <w:rPr>
                <w:color w:val="auto"/>
                <w:sz w:val="21"/>
                <w:szCs w:val="21"/>
              </w:rPr>
            </w:pPr>
            <w:r>
              <w:rPr>
                <w:rFonts w:hint="eastAsia"/>
                <w:color w:val="auto"/>
                <w:sz w:val="21"/>
                <w:szCs w:val="21"/>
              </w:rPr>
              <w:t>7/8″馈线</w:t>
            </w:r>
          </w:p>
        </w:tc>
      </w:tr>
      <w:tr w14:paraId="05CBE0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3846" w:type="pct"/>
            <w:tcMar>
              <w:top w:w="0" w:type="dxa"/>
              <w:left w:w="0" w:type="dxa"/>
              <w:right w:w="0" w:type="dxa"/>
            </w:tcMar>
            <w:vAlign w:val="center"/>
          </w:tcPr>
          <w:p w14:paraId="404DA89D">
            <w:pPr>
              <w:snapToGrid w:val="0"/>
              <w:jc w:val="center"/>
              <w:rPr>
                <w:color w:val="auto"/>
                <w:sz w:val="21"/>
                <w:szCs w:val="21"/>
              </w:rPr>
            </w:pPr>
            <w:r>
              <w:rPr>
                <w:rFonts w:hint="eastAsia"/>
                <w:color w:val="auto"/>
                <w:sz w:val="21"/>
                <w:szCs w:val="21"/>
              </w:rPr>
              <w:t>绝缘介电强度DC，1min（V）</w:t>
            </w:r>
          </w:p>
        </w:tc>
        <w:tc>
          <w:tcPr>
            <w:tcW w:w="1154" w:type="pct"/>
            <w:tcMar>
              <w:top w:w="0" w:type="dxa"/>
              <w:left w:w="0" w:type="dxa"/>
              <w:right w:w="0" w:type="dxa"/>
            </w:tcMar>
            <w:vAlign w:val="center"/>
          </w:tcPr>
          <w:p w14:paraId="7E4A5C82">
            <w:pPr>
              <w:snapToGrid w:val="0"/>
              <w:jc w:val="center"/>
              <w:rPr>
                <w:color w:val="auto"/>
                <w:sz w:val="21"/>
                <w:szCs w:val="21"/>
              </w:rPr>
            </w:pPr>
            <w:r>
              <w:rPr>
                <w:rFonts w:hint="eastAsia"/>
                <w:color w:val="auto"/>
                <w:sz w:val="21"/>
                <w:szCs w:val="21"/>
              </w:rPr>
              <w:t>10000</w:t>
            </w:r>
          </w:p>
        </w:tc>
      </w:tr>
      <w:tr w14:paraId="5FE1A7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3846" w:type="pct"/>
            <w:tcMar>
              <w:top w:w="0" w:type="dxa"/>
              <w:left w:w="0" w:type="dxa"/>
              <w:right w:w="0" w:type="dxa"/>
            </w:tcMar>
            <w:vAlign w:val="center"/>
          </w:tcPr>
          <w:p w14:paraId="796C04DC">
            <w:pPr>
              <w:snapToGrid w:val="0"/>
              <w:jc w:val="center"/>
              <w:rPr>
                <w:color w:val="auto"/>
                <w:sz w:val="21"/>
                <w:szCs w:val="21"/>
              </w:rPr>
            </w:pPr>
            <w:r>
              <w:rPr>
                <w:rFonts w:hint="eastAsia"/>
                <w:color w:val="auto"/>
                <w:sz w:val="21"/>
                <w:szCs w:val="21"/>
              </w:rPr>
              <w:t>最小绝缘电阻（MΩ</w:t>
            </w:r>
            <w:r>
              <w:rPr>
                <w:rFonts w:hint="eastAsia" w:ascii="宋体" w:hAnsi="宋体"/>
                <w:color w:val="auto"/>
                <w:sz w:val="21"/>
                <w:szCs w:val="21"/>
              </w:rPr>
              <w:t>·</w:t>
            </w:r>
            <w:r>
              <w:rPr>
                <w:rFonts w:hint="eastAsia"/>
                <w:color w:val="auto"/>
                <w:sz w:val="21"/>
                <w:szCs w:val="21"/>
              </w:rPr>
              <w:t>km）</w:t>
            </w:r>
          </w:p>
        </w:tc>
        <w:tc>
          <w:tcPr>
            <w:tcW w:w="1154" w:type="pct"/>
            <w:tcMar>
              <w:top w:w="0" w:type="dxa"/>
              <w:left w:w="0" w:type="dxa"/>
              <w:right w:w="0" w:type="dxa"/>
            </w:tcMar>
            <w:vAlign w:val="center"/>
          </w:tcPr>
          <w:p w14:paraId="40037664">
            <w:pPr>
              <w:snapToGrid w:val="0"/>
              <w:jc w:val="center"/>
              <w:rPr>
                <w:color w:val="auto"/>
                <w:sz w:val="21"/>
                <w:szCs w:val="21"/>
              </w:rPr>
            </w:pPr>
            <w:r>
              <w:rPr>
                <w:rFonts w:hint="eastAsia"/>
                <w:color w:val="auto"/>
                <w:sz w:val="21"/>
                <w:szCs w:val="21"/>
              </w:rPr>
              <w:t>3000</w:t>
            </w:r>
          </w:p>
        </w:tc>
      </w:tr>
      <w:tr w14:paraId="63B3B6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3846" w:type="pct"/>
            <w:tcMar>
              <w:top w:w="0" w:type="dxa"/>
              <w:left w:w="0" w:type="dxa"/>
              <w:right w:w="0" w:type="dxa"/>
            </w:tcMar>
            <w:vAlign w:val="center"/>
          </w:tcPr>
          <w:p w14:paraId="6EE6BD04">
            <w:pPr>
              <w:snapToGrid w:val="0"/>
              <w:jc w:val="center"/>
              <w:rPr>
                <w:color w:val="auto"/>
                <w:sz w:val="21"/>
                <w:szCs w:val="21"/>
              </w:rPr>
            </w:pPr>
            <w:r>
              <w:rPr>
                <w:rFonts w:hint="eastAsia"/>
                <w:color w:val="auto"/>
                <w:sz w:val="21"/>
                <w:szCs w:val="21"/>
              </w:rPr>
              <w:t>护套火花试验（AC，有效值）（V）</w:t>
            </w:r>
          </w:p>
        </w:tc>
        <w:tc>
          <w:tcPr>
            <w:tcW w:w="1154" w:type="pct"/>
            <w:tcMar>
              <w:top w:w="0" w:type="dxa"/>
              <w:left w:w="0" w:type="dxa"/>
              <w:right w:w="0" w:type="dxa"/>
            </w:tcMar>
            <w:vAlign w:val="center"/>
          </w:tcPr>
          <w:p w14:paraId="24EE4402">
            <w:pPr>
              <w:snapToGrid w:val="0"/>
              <w:jc w:val="center"/>
              <w:rPr>
                <w:color w:val="auto"/>
                <w:sz w:val="21"/>
                <w:szCs w:val="21"/>
              </w:rPr>
            </w:pPr>
            <w:r>
              <w:rPr>
                <w:rFonts w:hint="eastAsia"/>
                <w:color w:val="auto"/>
                <w:sz w:val="21"/>
                <w:szCs w:val="21"/>
              </w:rPr>
              <w:t>8000</w:t>
            </w:r>
          </w:p>
        </w:tc>
      </w:tr>
      <w:tr w14:paraId="0745C6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3846" w:type="pct"/>
            <w:tcMar>
              <w:top w:w="0" w:type="dxa"/>
              <w:left w:w="0" w:type="dxa"/>
              <w:right w:w="0" w:type="dxa"/>
            </w:tcMar>
            <w:vAlign w:val="center"/>
          </w:tcPr>
          <w:p w14:paraId="006B3CB0">
            <w:pPr>
              <w:snapToGrid w:val="0"/>
              <w:jc w:val="center"/>
              <w:rPr>
                <w:color w:val="auto"/>
                <w:sz w:val="21"/>
                <w:szCs w:val="21"/>
              </w:rPr>
            </w:pPr>
            <w:r>
              <w:rPr>
                <w:rFonts w:hint="eastAsia"/>
                <w:color w:val="auto"/>
                <w:sz w:val="21"/>
                <w:szCs w:val="21"/>
              </w:rPr>
              <w:t>电容（pF/m）</w:t>
            </w:r>
          </w:p>
        </w:tc>
        <w:tc>
          <w:tcPr>
            <w:tcW w:w="1154" w:type="pct"/>
            <w:tcMar>
              <w:top w:w="0" w:type="dxa"/>
              <w:left w:w="0" w:type="dxa"/>
              <w:right w:w="0" w:type="dxa"/>
            </w:tcMar>
            <w:vAlign w:val="center"/>
          </w:tcPr>
          <w:p w14:paraId="2D03D66C">
            <w:pPr>
              <w:snapToGrid w:val="0"/>
              <w:jc w:val="center"/>
              <w:rPr>
                <w:color w:val="auto"/>
                <w:sz w:val="21"/>
                <w:szCs w:val="21"/>
              </w:rPr>
            </w:pPr>
            <w:r>
              <w:rPr>
                <w:rFonts w:hint="eastAsia"/>
                <w:color w:val="auto"/>
                <w:sz w:val="21"/>
                <w:szCs w:val="21"/>
              </w:rPr>
              <w:t>76</w:t>
            </w:r>
          </w:p>
        </w:tc>
      </w:tr>
      <w:tr w14:paraId="0574E4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3846" w:type="pct"/>
            <w:tcMar>
              <w:top w:w="0" w:type="dxa"/>
              <w:left w:w="0" w:type="dxa"/>
              <w:right w:w="0" w:type="dxa"/>
            </w:tcMar>
            <w:vAlign w:val="center"/>
          </w:tcPr>
          <w:p w14:paraId="1AE4A1BA">
            <w:pPr>
              <w:snapToGrid w:val="0"/>
              <w:jc w:val="center"/>
              <w:rPr>
                <w:color w:val="auto"/>
                <w:sz w:val="21"/>
                <w:szCs w:val="21"/>
              </w:rPr>
            </w:pPr>
            <w:r>
              <w:rPr>
                <w:rFonts w:hint="eastAsia"/>
                <w:color w:val="auto"/>
                <w:sz w:val="21"/>
                <w:szCs w:val="21"/>
              </w:rPr>
              <w:t>特性阻抗（Ω）</w:t>
            </w:r>
          </w:p>
        </w:tc>
        <w:tc>
          <w:tcPr>
            <w:tcW w:w="1154" w:type="pct"/>
            <w:tcMar>
              <w:top w:w="0" w:type="dxa"/>
              <w:left w:w="0" w:type="dxa"/>
              <w:right w:w="0" w:type="dxa"/>
            </w:tcMar>
            <w:vAlign w:val="center"/>
          </w:tcPr>
          <w:p w14:paraId="501D0C7C">
            <w:pPr>
              <w:snapToGrid w:val="0"/>
              <w:jc w:val="center"/>
              <w:rPr>
                <w:color w:val="auto"/>
                <w:sz w:val="21"/>
                <w:szCs w:val="21"/>
              </w:rPr>
            </w:pPr>
            <w:r>
              <w:rPr>
                <w:rFonts w:hint="eastAsia"/>
                <w:color w:val="auto"/>
                <w:sz w:val="21"/>
                <w:szCs w:val="21"/>
              </w:rPr>
              <w:t>50</w:t>
            </w:r>
            <w:r>
              <w:rPr>
                <w:rFonts w:hint="eastAsia" w:ascii="宋体" w:hAnsi="宋体"/>
                <w:color w:val="auto"/>
                <w:sz w:val="21"/>
                <w:szCs w:val="21"/>
              </w:rPr>
              <w:t>±</w:t>
            </w:r>
            <w:r>
              <w:rPr>
                <w:rFonts w:hint="eastAsia"/>
                <w:color w:val="auto"/>
                <w:sz w:val="21"/>
                <w:szCs w:val="21"/>
              </w:rPr>
              <w:t>2</w:t>
            </w:r>
          </w:p>
        </w:tc>
      </w:tr>
      <w:tr w14:paraId="5D4E7B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3846" w:type="pct"/>
            <w:tcMar>
              <w:top w:w="0" w:type="dxa"/>
              <w:left w:w="0" w:type="dxa"/>
              <w:right w:w="0" w:type="dxa"/>
            </w:tcMar>
            <w:vAlign w:val="center"/>
          </w:tcPr>
          <w:p w14:paraId="70625C86">
            <w:pPr>
              <w:snapToGrid w:val="0"/>
              <w:jc w:val="center"/>
              <w:rPr>
                <w:color w:val="auto"/>
                <w:sz w:val="21"/>
                <w:szCs w:val="21"/>
              </w:rPr>
            </w:pPr>
            <w:r>
              <w:rPr>
                <w:rFonts w:hint="eastAsia"/>
                <w:color w:val="auto"/>
                <w:sz w:val="21"/>
                <w:szCs w:val="21"/>
              </w:rPr>
              <w:t>传播速度系数</w:t>
            </w:r>
          </w:p>
        </w:tc>
        <w:tc>
          <w:tcPr>
            <w:tcW w:w="1154" w:type="pct"/>
            <w:tcMar>
              <w:top w:w="0" w:type="dxa"/>
              <w:left w:w="0" w:type="dxa"/>
              <w:right w:w="0" w:type="dxa"/>
            </w:tcMar>
            <w:vAlign w:val="center"/>
          </w:tcPr>
          <w:p w14:paraId="08847A24">
            <w:pPr>
              <w:snapToGrid w:val="0"/>
              <w:jc w:val="center"/>
              <w:rPr>
                <w:color w:val="auto"/>
                <w:sz w:val="21"/>
                <w:szCs w:val="21"/>
              </w:rPr>
            </w:pPr>
            <w:r>
              <w:rPr>
                <w:rFonts w:hint="eastAsia"/>
                <w:color w:val="auto"/>
                <w:sz w:val="21"/>
                <w:szCs w:val="21"/>
              </w:rPr>
              <w:t>0.88</w:t>
            </w:r>
          </w:p>
        </w:tc>
      </w:tr>
      <w:tr w14:paraId="505D0E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3846" w:type="pct"/>
            <w:tcMar>
              <w:top w:w="0" w:type="dxa"/>
              <w:left w:w="0" w:type="dxa"/>
              <w:right w:w="0" w:type="dxa"/>
            </w:tcMar>
            <w:vAlign w:val="center"/>
          </w:tcPr>
          <w:p w14:paraId="26E43E08">
            <w:pPr>
              <w:snapToGrid w:val="0"/>
              <w:jc w:val="center"/>
              <w:rPr>
                <w:color w:val="auto"/>
                <w:sz w:val="21"/>
                <w:szCs w:val="21"/>
              </w:rPr>
            </w:pPr>
            <w:r>
              <w:rPr>
                <w:rFonts w:hint="eastAsia"/>
                <w:color w:val="auto"/>
                <w:sz w:val="21"/>
                <w:szCs w:val="21"/>
              </w:rPr>
              <w:t>最大传输衰减（20℃）400MHz（dB/100m）</w:t>
            </w:r>
          </w:p>
        </w:tc>
        <w:tc>
          <w:tcPr>
            <w:tcW w:w="1154" w:type="pct"/>
            <w:tcMar>
              <w:top w:w="0" w:type="dxa"/>
              <w:left w:w="0" w:type="dxa"/>
              <w:right w:w="0" w:type="dxa"/>
            </w:tcMar>
            <w:vAlign w:val="center"/>
          </w:tcPr>
          <w:p w14:paraId="1D2C87A9">
            <w:pPr>
              <w:snapToGrid w:val="0"/>
              <w:jc w:val="center"/>
              <w:rPr>
                <w:color w:val="auto"/>
                <w:sz w:val="21"/>
                <w:szCs w:val="21"/>
              </w:rPr>
            </w:pPr>
            <w:r>
              <w:rPr>
                <w:rFonts w:hint="eastAsia"/>
                <w:color w:val="auto"/>
                <w:sz w:val="21"/>
                <w:szCs w:val="21"/>
              </w:rPr>
              <w:t>3.41</w:t>
            </w:r>
          </w:p>
        </w:tc>
      </w:tr>
      <w:tr w14:paraId="2B2673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3846" w:type="pct"/>
            <w:tcMar>
              <w:top w:w="0" w:type="dxa"/>
              <w:left w:w="0" w:type="dxa"/>
              <w:right w:w="0" w:type="dxa"/>
            </w:tcMar>
            <w:vAlign w:val="center"/>
          </w:tcPr>
          <w:p w14:paraId="1CF69006">
            <w:pPr>
              <w:snapToGrid w:val="0"/>
              <w:jc w:val="center"/>
              <w:rPr>
                <w:color w:val="auto"/>
                <w:sz w:val="21"/>
                <w:szCs w:val="21"/>
              </w:rPr>
            </w:pPr>
            <w:r>
              <w:rPr>
                <w:rFonts w:hint="eastAsia"/>
                <w:color w:val="auto"/>
                <w:sz w:val="21"/>
                <w:szCs w:val="21"/>
              </w:rPr>
              <w:t>电压驻波比</w:t>
            </w:r>
          </w:p>
        </w:tc>
        <w:tc>
          <w:tcPr>
            <w:tcW w:w="1154" w:type="pct"/>
            <w:tcMar>
              <w:top w:w="0" w:type="dxa"/>
              <w:left w:w="0" w:type="dxa"/>
              <w:right w:w="0" w:type="dxa"/>
            </w:tcMar>
            <w:vAlign w:val="center"/>
          </w:tcPr>
          <w:p w14:paraId="39FFF352">
            <w:pPr>
              <w:snapToGrid w:val="0"/>
              <w:jc w:val="center"/>
              <w:rPr>
                <w:color w:val="auto"/>
                <w:sz w:val="21"/>
                <w:szCs w:val="21"/>
              </w:rPr>
            </w:pPr>
            <w:r>
              <w:rPr>
                <w:rFonts w:hint="eastAsia"/>
                <w:color w:val="auto"/>
                <w:sz w:val="21"/>
                <w:szCs w:val="21"/>
              </w:rPr>
              <w:t>1.15</w:t>
            </w:r>
          </w:p>
        </w:tc>
      </w:tr>
    </w:tbl>
    <w:p w14:paraId="05A4760B">
      <w:pPr>
        <w:ind w:firstLine="420" w:firstLineChars="200"/>
        <w:rPr>
          <w:color w:val="auto"/>
          <w:sz w:val="21"/>
          <w:szCs w:val="21"/>
        </w:rPr>
      </w:pPr>
      <w:r>
        <w:rPr>
          <w:rFonts w:hint="eastAsia"/>
          <w:color w:val="auto"/>
          <w:sz w:val="21"/>
          <w:szCs w:val="21"/>
        </w:rPr>
        <w:t>线机械性能及温度要求见下表：</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077"/>
        <w:gridCol w:w="2711"/>
        <w:gridCol w:w="2538"/>
      </w:tblGrid>
      <w:tr w14:paraId="7BAC97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3476" w:type="pct"/>
            <w:gridSpan w:val="2"/>
            <w:tcMar>
              <w:top w:w="0" w:type="dxa"/>
              <w:left w:w="0" w:type="dxa"/>
              <w:right w:w="0" w:type="dxa"/>
            </w:tcMar>
            <w:vAlign w:val="center"/>
          </w:tcPr>
          <w:p w14:paraId="11512F88">
            <w:pPr>
              <w:snapToGrid w:val="0"/>
              <w:jc w:val="center"/>
              <w:rPr>
                <w:color w:val="auto"/>
                <w:sz w:val="21"/>
                <w:szCs w:val="21"/>
              </w:rPr>
            </w:pPr>
            <w:r>
              <w:rPr>
                <w:rFonts w:hint="eastAsia"/>
                <w:color w:val="auto"/>
                <w:sz w:val="21"/>
                <w:szCs w:val="21"/>
              </w:rPr>
              <w:t>馈线类型</w:t>
            </w:r>
          </w:p>
        </w:tc>
        <w:tc>
          <w:tcPr>
            <w:tcW w:w="1524" w:type="pct"/>
            <w:tcMar>
              <w:top w:w="0" w:type="dxa"/>
              <w:left w:w="0" w:type="dxa"/>
              <w:right w:w="0" w:type="dxa"/>
            </w:tcMar>
            <w:vAlign w:val="center"/>
          </w:tcPr>
          <w:p w14:paraId="72993C56">
            <w:pPr>
              <w:snapToGrid w:val="0"/>
              <w:jc w:val="center"/>
              <w:rPr>
                <w:color w:val="auto"/>
                <w:sz w:val="21"/>
                <w:szCs w:val="21"/>
              </w:rPr>
            </w:pPr>
            <w:r>
              <w:rPr>
                <w:rFonts w:hint="eastAsia"/>
                <w:color w:val="auto"/>
                <w:sz w:val="21"/>
                <w:szCs w:val="21"/>
              </w:rPr>
              <w:t>7/8</w:t>
            </w:r>
            <w:r>
              <w:rPr>
                <w:rFonts w:hint="eastAsia" w:ascii="宋体" w:hAnsi="宋体"/>
                <w:color w:val="auto"/>
                <w:sz w:val="21"/>
                <w:szCs w:val="21"/>
              </w:rPr>
              <w:t>”</w:t>
            </w:r>
            <w:r>
              <w:rPr>
                <w:rFonts w:hint="eastAsia"/>
                <w:color w:val="auto"/>
                <w:sz w:val="21"/>
                <w:szCs w:val="21"/>
              </w:rPr>
              <w:t>馈线</w:t>
            </w:r>
          </w:p>
        </w:tc>
      </w:tr>
      <w:tr w14:paraId="12ABEC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848" w:type="pct"/>
            <w:vMerge w:val="restart"/>
            <w:tcMar>
              <w:top w:w="0" w:type="dxa"/>
              <w:left w:w="0" w:type="dxa"/>
              <w:right w:w="0" w:type="dxa"/>
            </w:tcMar>
            <w:vAlign w:val="center"/>
          </w:tcPr>
          <w:p w14:paraId="273BA38C">
            <w:pPr>
              <w:snapToGrid w:val="0"/>
              <w:jc w:val="center"/>
              <w:rPr>
                <w:color w:val="auto"/>
                <w:sz w:val="21"/>
                <w:szCs w:val="21"/>
              </w:rPr>
            </w:pPr>
            <w:r>
              <w:rPr>
                <w:rFonts w:hint="eastAsia"/>
                <w:color w:val="auto"/>
                <w:sz w:val="21"/>
                <w:szCs w:val="21"/>
              </w:rPr>
              <w:t>最小弯曲半径</w:t>
            </w:r>
          </w:p>
        </w:tc>
        <w:tc>
          <w:tcPr>
            <w:tcW w:w="1628" w:type="pct"/>
            <w:tcMar>
              <w:top w:w="0" w:type="dxa"/>
              <w:left w:w="0" w:type="dxa"/>
              <w:right w:w="0" w:type="dxa"/>
            </w:tcMar>
            <w:vAlign w:val="center"/>
          </w:tcPr>
          <w:p w14:paraId="35FDFA51">
            <w:pPr>
              <w:snapToGrid w:val="0"/>
              <w:jc w:val="center"/>
              <w:rPr>
                <w:color w:val="auto"/>
                <w:sz w:val="21"/>
                <w:szCs w:val="21"/>
              </w:rPr>
            </w:pPr>
            <w:r>
              <w:rPr>
                <w:rFonts w:hint="eastAsia"/>
                <w:color w:val="auto"/>
                <w:sz w:val="21"/>
                <w:szCs w:val="21"/>
              </w:rPr>
              <w:t>单次弯曲（cm）</w:t>
            </w:r>
          </w:p>
        </w:tc>
        <w:tc>
          <w:tcPr>
            <w:tcW w:w="1524" w:type="pct"/>
            <w:tcMar>
              <w:top w:w="0" w:type="dxa"/>
              <w:left w:w="0" w:type="dxa"/>
              <w:right w:w="0" w:type="dxa"/>
            </w:tcMar>
            <w:vAlign w:val="center"/>
          </w:tcPr>
          <w:p w14:paraId="6B78C1B3">
            <w:pPr>
              <w:snapToGrid w:val="0"/>
              <w:jc w:val="center"/>
              <w:rPr>
                <w:color w:val="auto"/>
                <w:sz w:val="21"/>
                <w:szCs w:val="21"/>
              </w:rPr>
            </w:pPr>
            <w:r>
              <w:rPr>
                <w:rFonts w:hint="eastAsia" w:ascii="宋体" w:hAnsi="宋体"/>
                <w:color w:val="auto"/>
                <w:sz w:val="21"/>
                <w:szCs w:val="21"/>
              </w:rPr>
              <w:t>≤</w:t>
            </w:r>
            <w:r>
              <w:rPr>
                <w:rFonts w:hint="eastAsia"/>
                <w:color w:val="auto"/>
                <w:sz w:val="21"/>
                <w:szCs w:val="21"/>
              </w:rPr>
              <w:t>10.0</w:t>
            </w:r>
          </w:p>
        </w:tc>
      </w:tr>
      <w:tr w14:paraId="0BA0C9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848" w:type="pct"/>
            <w:vMerge w:val="continue"/>
            <w:tcMar>
              <w:top w:w="0" w:type="dxa"/>
              <w:left w:w="0" w:type="dxa"/>
              <w:right w:w="0" w:type="dxa"/>
            </w:tcMar>
            <w:vAlign w:val="center"/>
          </w:tcPr>
          <w:p w14:paraId="68A79F21">
            <w:pPr>
              <w:snapToGrid w:val="0"/>
              <w:jc w:val="center"/>
              <w:rPr>
                <w:color w:val="auto"/>
                <w:sz w:val="21"/>
                <w:szCs w:val="21"/>
              </w:rPr>
            </w:pPr>
          </w:p>
        </w:tc>
        <w:tc>
          <w:tcPr>
            <w:tcW w:w="1628" w:type="pct"/>
            <w:tcMar>
              <w:top w:w="0" w:type="dxa"/>
              <w:left w:w="0" w:type="dxa"/>
              <w:right w:w="0" w:type="dxa"/>
            </w:tcMar>
            <w:vAlign w:val="center"/>
          </w:tcPr>
          <w:p w14:paraId="0190931A">
            <w:pPr>
              <w:snapToGrid w:val="0"/>
              <w:jc w:val="center"/>
              <w:rPr>
                <w:color w:val="auto"/>
                <w:sz w:val="21"/>
                <w:szCs w:val="21"/>
              </w:rPr>
            </w:pPr>
            <w:r>
              <w:rPr>
                <w:rFonts w:hint="eastAsia"/>
                <w:color w:val="auto"/>
                <w:sz w:val="21"/>
                <w:szCs w:val="21"/>
              </w:rPr>
              <w:t>重复弯曲（cm）</w:t>
            </w:r>
          </w:p>
        </w:tc>
        <w:tc>
          <w:tcPr>
            <w:tcW w:w="1524" w:type="pct"/>
            <w:tcMar>
              <w:top w:w="0" w:type="dxa"/>
              <w:left w:w="0" w:type="dxa"/>
              <w:right w:w="0" w:type="dxa"/>
            </w:tcMar>
            <w:vAlign w:val="center"/>
          </w:tcPr>
          <w:p w14:paraId="22680551">
            <w:pPr>
              <w:snapToGrid w:val="0"/>
              <w:jc w:val="center"/>
              <w:rPr>
                <w:color w:val="auto"/>
                <w:sz w:val="21"/>
                <w:szCs w:val="21"/>
              </w:rPr>
            </w:pPr>
            <w:r>
              <w:rPr>
                <w:rFonts w:hint="eastAsia" w:ascii="宋体" w:hAnsi="宋体"/>
                <w:color w:val="auto"/>
                <w:sz w:val="21"/>
                <w:szCs w:val="21"/>
              </w:rPr>
              <w:t>≤</w:t>
            </w:r>
            <w:r>
              <w:rPr>
                <w:rFonts w:hint="eastAsia"/>
                <w:color w:val="auto"/>
                <w:sz w:val="21"/>
                <w:szCs w:val="21"/>
              </w:rPr>
              <w:t>25.0</w:t>
            </w:r>
          </w:p>
        </w:tc>
      </w:tr>
      <w:tr w14:paraId="0D021A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848" w:type="pct"/>
            <w:vMerge w:val="continue"/>
            <w:tcMar>
              <w:top w:w="0" w:type="dxa"/>
              <w:left w:w="0" w:type="dxa"/>
              <w:right w:w="0" w:type="dxa"/>
            </w:tcMar>
            <w:vAlign w:val="center"/>
          </w:tcPr>
          <w:p w14:paraId="324F8CCD">
            <w:pPr>
              <w:snapToGrid w:val="0"/>
              <w:jc w:val="center"/>
              <w:rPr>
                <w:color w:val="auto"/>
                <w:sz w:val="21"/>
                <w:szCs w:val="21"/>
              </w:rPr>
            </w:pPr>
          </w:p>
        </w:tc>
        <w:tc>
          <w:tcPr>
            <w:tcW w:w="1628" w:type="pct"/>
            <w:tcMar>
              <w:top w:w="0" w:type="dxa"/>
              <w:left w:w="0" w:type="dxa"/>
              <w:right w:w="0" w:type="dxa"/>
            </w:tcMar>
            <w:vAlign w:val="center"/>
          </w:tcPr>
          <w:p w14:paraId="30D965F5">
            <w:pPr>
              <w:snapToGrid w:val="0"/>
              <w:jc w:val="center"/>
              <w:rPr>
                <w:color w:val="auto"/>
                <w:sz w:val="21"/>
                <w:szCs w:val="21"/>
              </w:rPr>
            </w:pPr>
            <w:r>
              <w:rPr>
                <w:rFonts w:hint="eastAsia"/>
                <w:color w:val="auto"/>
                <w:sz w:val="21"/>
                <w:szCs w:val="21"/>
              </w:rPr>
              <w:t>弯曲次数（次）</w:t>
            </w:r>
          </w:p>
        </w:tc>
        <w:tc>
          <w:tcPr>
            <w:tcW w:w="1524" w:type="pct"/>
            <w:tcMar>
              <w:top w:w="0" w:type="dxa"/>
              <w:left w:w="0" w:type="dxa"/>
              <w:right w:w="0" w:type="dxa"/>
            </w:tcMar>
            <w:vAlign w:val="center"/>
          </w:tcPr>
          <w:p w14:paraId="1F294328">
            <w:pPr>
              <w:snapToGrid w:val="0"/>
              <w:jc w:val="center"/>
              <w:rPr>
                <w:color w:val="auto"/>
                <w:sz w:val="21"/>
                <w:szCs w:val="21"/>
              </w:rPr>
            </w:pPr>
            <w:r>
              <w:rPr>
                <w:rFonts w:hint="eastAsia" w:ascii="宋体" w:hAnsi="宋体"/>
                <w:color w:val="auto"/>
                <w:sz w:val="21"/>
                <w:szCs w:val="21"/>
              </w:rPr>
              <w:t>≥</w:t>
            </w:r>
            <w:r>
              <w:rPr>
                <w:rFonts w:hint="eastAsia"/>
                <w:color w:val="auto"/>
                <w:sz w:val="21"/>
                <w:szCs w:val="21"/>
              </w:rPr>
              <w:t>15</w:t>
            </w:r>
          </w:p>
        </w:tc>
      </w:tr>
      <w:tr w14:paraId="0EB61C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848" w:type="pct"/>
            <w:vMerge w:val="continue"/>
            <w:tcMar>
              <w:top w:w="0" w:type="dxa"/>
              <w:left w:w="0" w:type="dxa"/>
              <w:right w:w="0" w:type="dxa"/>
            </w:tcMar>
            <w:vAlign w:val="center"/>
          </w:tcPr>
          <w:p w14:paraId="24CDF48E">
            <w:pPr>
              <w:snapToGrid w:val="0"/>
              <w:jc w:val="center"/>
              <w:rPr>
                <w:color w:val="auto"/>
                <w:sz w:val="21"/>
                <w:szCs w:val="21"/>
              </w:rPr>
            </w:pPr>
          </w:p>
        </w:tc>
        <w:tc>
          <w:tcPr>
            <w:tcW w:w="1628" w:type="pct"/>
            <w:tcMar>
              <w:top w:w="0" w:type="dxa"/>
              <w:left w:w="0" w:type="dxa"/>
              <w:right w:w="0" w:type="dxa"/>
            </w:tcMar>
            <w:vAlign w:val="center"/>
          </w:tcPr>
          <w:p w14:paraId="0C2BC05F">
            <w:pPr>
              <w:snapToGrid w:val="0"/>
              <w:jc w:val="center"/>
              <w:rPr>
                <w:color w:val="auto"/>
                <w:sz w:val="21"/>
                <w:szCs w:val="21"/>
              </w:rPr>
            </w:pPr>
            <w:r>
              <w:rPr>
                <w:rFonts w:hint="eastAsia"/>
                <w:color w:val="auto"/>
                <w:sz w:val="21"/>
                <w:szCs w:val="21"/>
              </w:rPr>
              <w:t>运动运用（cm）</w:t>
            </w:r>
          </w:p>
        </w:tc>
        <w:tc>
          <w:tcPr>
            <w:tcW w:w="1524" w:type="pct"/>
            <w:tcMar>
              <w:top w:w="0" w:type="dxa"/>
              <w:left w:w="0" w:type="dxa"/>
              <w:right w:w="0" w:type="dxa"/>
            </w:tcMar>
            <w:vAlign w:val="center"/>
          </w:tcPr>
          <w:p w14:paraId="057FB101">
            <w:pPr>
              <w:snapToGrid w:val="0"/>
              <w:jc w:val="center"/>
              <w:rPr>
                <w:color w:val="auto"/>
                <w:sz w:val="21"/>
                <w:szCs w:val="21"/>
              </w:rPr>
            </w:pPr>
            <w:r>
              <w:rPr>
                <w:rFonts w:hint="eastAsia" w:ascii="宋体" w:hAnsi="宋体"/>
                <w:color w:val="auto"/>
                <w:sz w:val="21"/>
                <w:szCs w:val="21"/>
              </w:rPr>
              <w:t>≤</w:t>
            </w:r>
            <w:r>
              <w:rPr>
                <w:rFonts w:hint="eastAsia"/>
                <w:color w:val="auto"/>
                <w:sz w:val="21"/>
                <w:szCs w:val="21"/>
              </w:rPr>
              <w:t>15</w:t>
            </w:r>
          </w:p>
        </w:tc>
      </w:tr>
      <w:tr w14:paraId="662BA5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848" w:type="pct"/>
            <w:vMerge w:val="restart"/>
            <w:tcMar>
              <w:top w:w="0" w:type="dxa"/>
              <w:left w:w="0" w:type="dxa"/>
              <w:right w:w="0" w:type="dxa"/>
            </w:tcMar>
            <w:vAlign w:val="center"/>
          </w:tcPr>
          <w:p w14:paraId="7B7D190A">
            <w:pPr>
              <w:snapToGrid w:val="0"/>
              <w:jc w:val="center"/>
              <w:rPr>
                <w:color w:val="auto"/>
                <w:sz w:val="21"/>
                <w:szCs w:val="21"/>
              </w:rPr>
            </w:pPr>
            <w:r>
              <w:rPr>
                <w:rFonts w:hint="eastAsia"/>
                <w:color w:val="auto"/>
                <w:sz w:val="21"/>
                <w:szCs w:val="21"/>
              </w:rPr>
              <w:t>温度（°C）</w:t>
            </w:r>
          </w:p>
        </w:tc>
        <w:tc>
          <w:tcPr>
            <w:tcW w:w="1628" w:type="pct"/>
            <w:tcMar>
              <w:top w:w="0" w:type="dxa"/>
              <w:left w:w="0" w:type="dxa"/>
              <w:right w:w="0" w:type="dxa"/>
            </w:tcMar>
            <w:vAlign w:val="center"/>
          </w:tcPr>
          <w:p w14:paraId="09368E48">
            <w:pPr>
              <w:snapToGrid w:val="0"/>
              <w:jc w:val="center"/>
              <w:rPr>
                <w:color w:val="auto"/>
                <w:sz w:val="21"/>
                <w:szCs w:val="21"/>
              </w:rPr>
            </w:pPr>
            <w:r>
              <w:rPr>
                <w:rFonts w:hint="eastAsia"/>
                <w:color w:val="auto"/>
                <w:sz w:val="21"/>
                <w:szCs w:val="21"/>
              </w:rPr>
              <w:t>储    存</w:t>
            </w:r>
          </w:p>
        </w:tc>
        <w:tc>
          <w:tcPr>
            <w:tcW w:w="1524" w:type="pct"/>
            <w:tcMar>
              <w:top w:w="0" w:type="dxa"/>
              <w:left w:w="0" w:type="dxa"/>
              <w:right w:w="0" w:type="dxa"/>
            </w:tcMar>
            <w:vAlign w:val="center"/>
          </w:tcPr>
          <w:p w14:paraId="0CFD22C5">
            <w:pPr>
              <w:snapToGrid w:val="0"/>
              <w:jc w:val="center"/>
              <w:rPr>
                <w:color w:val="auto"/>
                <w:sz w:val="21"/>
                <w:szCs w:val="21"/>
              </w:rPr>
            </w:pPr>
            <w:r>
              <w:rPr>
                <w:rFonts w:hint="eastAsia"/>
                <w:color w:val="auto"/>
                <w:sz w:val="21"/>
                <w:szCs w:val="21"/>
              </w:rPr>
              <w:t>-70</w:t>
            </w:r>
            <w:r>
              <w:rPr>
                <w:rFonts w:hint="eastAsia" w:ascii="宋体" w:hAnsi="宋体"/>
                <w:color w:val="auto"/>
                <w:sz w:val="21"/>
                <w:szCs w:val="21"/>
              </w:rPr>
              <w:t>～</w:t>
            </w:r>
            <w:r>
              <w:rPr>
                <w:rFonts w:hint="eastAsia"/>
                <w:color w:val="auto"/>
                <w:sz w:val="21"/>
                <w:szCs w:val="21"/>
              </w:rPr>
              <w:t>+85</w:t>
            </w:r>
          </w:p>
        </w:tc>
      </w:tr>
      <w:tr w14:paraId="58DEE5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848" w:type="pct"/>
            <w:vMerge w:val="continue"/>
            <w:tcMar>
              <w:top w:w="0" w:type="dxa"/>
              <w:left w:w="0" w:type="dxa"/>
              <w:right w:w="0" w:type="dxa"/>
            </w:tcMar>
            <w:vAlign w:val="center"/>
          </w:tcPr>
          <w:p w14:paraId="33751EFC">
            <w:pPr>
              <w:snapToGrid w:val="0"/>
              <w:jc w:val="center"/>
              <w:rPr>
                <w:color w:val="auto"/>
                <w:sz w:val="21"/>
                <w:szCs w:val="21"/>
              </w:rPr>
            </w:pPr>
          </w:p>
        </w:tc>
        <w:tc>
          <w:tcPr>
            <w:tcW w:w="1628" w:type="pct"/>
            <w:tcMar>
              <w:top w:w="0" w:type="dxa"/>
              <w:left w:w="0" w:type="dxa"/>
              <w:right w:w="0" w:type="dxa"/>
            </w:tcMar>
            <w:vAlign w:val="center"/>
          </w:tcPr>
          <w:p w14:paraId="2F3276B9">
            <w:pPr>
              <w:snapToGrid w:val="0"/>
              <w:jc w:val="center"/>
              <w:rPr>
                <w:color w:val="auto"/>
                <w:sz w:val="21"/>
                <w:szCs w:val="21"/>
              </w:rPr>
            </w:pPr>
            <w:r>
              <w:rPr>
                <w:rFonts w:hint="eastAsia"/>
                <w:color w:val="auto"/>
                <w:sz w:val="21"/>
                <w:szCs w:val="21"/>
              </w:rPr>
              <w:t>安    装</w:t>
            </w:r>
          </w:p>
        </w:tc>
        <w:tc>
          <w:tcPr>
            <w:tcW w:w="1524" w:type="pct"/>
            <w:tcMar>
              <w:top w:w="0" w:type="dxa"/>
              <w:left w:w="0" w:type="dxa"/>
              <w:right w:w="0" w:type="dxa"/>
            </w:tcMar>
            <w:vAlign w:val="center"/>
          </w:tcPr>
          <w:p w14:paraId="3E01747E">
            <w:pPr>
              <w:snapToGrid w:val="0"/>
              <w:jc w:val="center"/>
              <w:rPr>
                <w:color w:val="auto"/>
                <w:sz w:val="21"/>
                <w:szCs w:val="21"/>
              </w:rPr>
            </w:pPr>
            <w:r>
              <w:rPr>
                <w:rFonts w:hint="eastAsia"/>
                <w:color w:val="auto"/>
                <w:sz w:val="21"/>
                <w:szCs w:val="21"/>
              </w:rPr>
              <w:t xml:space="preserve">-40 </w:t>
            </w:r>
            <w:r>
              <w:rPr>
                <w:rFonts w:hint="eastAsia" w:ascii="宋体" w:hAnsi="宋体"/>
                <w:color w:val="auto"/>
                <w:sz w:val="21"/>
                <w:szCs w:val="21"/>
              </w:rPr>
              <w:t>～</w:t>
            </w:r>
            <w:r>
              <w:rPr>
                <w:rFonts w:hint="eastAsia"/>
                <w:color w:val="auto"/>
                <w:sz w:val="21"/>
                <w:szCs w:val="21"/>
              </w:rPr>
              <w:t>+60</w:t>
            </w:r>
          </w:p>
        </w:tc>
      </w:tr>
      <w:tr w14:paraId="384432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848" w:type="pct"/>
            <w:vMerge w:val="continue"/>
            <w:tcMar>
              <w:top w:w="0" w:type="dxa"/>
              <w:left w:w="0" w:type="dxa"/>
              <w:right w:w="0" w:type="dxa"/>
            </w:tcMar>
            <w:vAlign w:val="center"/>
          </w:tcPr>
          <w:p w14:paraId="7A073243">
            <w:pPr>
              <w:snapToGrid w:val="0"/>
              <w:jc w:val="center"/>
              <w:rPr>
                <w:color w:val="auto"/>
                <w:sz w:val="21"/>
                <w:szCs w:val="21"/>
              </w:rPr>
            </w:pPr>
          </w:p>
        </w:tc>
        <w:tc>
          <w:tcPr>
            <w:tcW w:w="1628" w:type="pct"/>
            <w:tcMar>
              <w:top w:w="0" w:type="dxa"/>
              <w:left w:w="0" w:type="dxa"/>
              <w:right w:w="0" w:type="dxa"/>
            </w:tcMar>
            <w:vAlign w:val="center"/>
          </w:tcPr>
          <w:p w14:paraId="01203A2A">
            <w:pPr>
              <w:snapToGrid w:val="0"/>
              <w:jc w:val="center"/>
              <w:rPr>
                <w:color w:val="auto"/>
                <w:sz w:val="21"/>
                <w:szCs w:val="21"/>
              </w:rPr>
            </w:pPr>
            <w:r>
              <w:rPr>
                <w:rFonts w:hint="eastAsia"/>
                <w:color w:val="auto"/>
                <w:sz w:val="21"/>
                <w:szCs w:val="21"/>
              </w:rPr>
              <w:t>操作使用</w:t>
            </w:r>
          </w:p>
        </w:tc>
        <w:tc>
          <w:tcPr>
            <w:tcW w:w="1524" w:type="pct"/>
            <w:tcMar>
              <w:top w:w="0" w:type="dxa"/>
              <w:left w:w="0" w:type="dxa"/>
              <w:right w:w="0" w:type="dxa"/>
            </w:tcMar>
            <w:vAlign w:val="center"/>
          </w:tcPr>
          <w:p w14:paraId="4C64209E">
            <w:pPr>
              <w:snapToGrid w:val="0"/>
              <w:jc w:val="center"/>
              <w:rPr>
                <w:color w:val="auto"/>
                <w:sz w:val="21"/>
                <w:szCs w:val="21"/>
              </w:rPr>
            </w:pPr>
            <w:r>
              <w:rPr>
                <w:rFonts w:hint="eastAsia"/>
                <w:color w:val="auto"/>
                <w:sz w:val="21"/>
                <w:szCs w:val="21"/>
              </w:rPr>
              <w:t xml:space="preserve">-55 </w:t>
            </w:r>
            <w:r>
              <w:rPr>
                <w:rFonts w:hint="eastAsia" w:ascii="宋体" w:hAnsi="宋体"/>
                <w:color w:val="auto"/>
                <w:sz w:val="21"/>
                <w:szCs w:val="21"/>
              </w:rPr>
              <w:t>～</w:t>
            </w:r>
            <w:r>
              <w:rPr>
                <w:rFonts w:hint="eastAsia"/>
                <w:color w:val="auto"/>
                <w:sz w:val="21"/>
                <w:szCs w:val="21"/>
              </w:rPr>
              <w:t>+85</w:t>
            </w:r>
          </w:p>
        </w:tc>
      </w:tr>
    </w:tbl>
    <w:p w14:paraId="2B5438C5">
      <w:pPr>
        <w:spacing w:before="120"/>
        <w:ind w:firstLine="420" w:firstLineChars="200"/>
        <w:rPr>
          <w:color w:val="auto"/>
          <w:sz w:val="21"/>
          <w:szCs w:val="21"/>
        </w:rPr>
      </w:pPr>
      <w:r>
        <w:rPr>
          <w:rFonts w:hint="eastAsia"/>
          <w:color w:val="auto"/>
          <w:sz w:val="21"/>
          <w:szCs w:val="21"/>
        </w:rPr>
        <w:t>馈线接头</w:t>
      </w:r>
    </w:p>
    <w:p w14:paraId="5912A678">
      <w:pPr>
        <w:ind w:firstLine="420" w:firstLineChars="200"/>
        <w:rPr>
          <w:color w:val="auto"/>
          <w:sz w:val="21"/>
          <w:szCs w:val="21"/>
        </w:rPr>
      </w:pPr>
      <w:r>
        <w:rPr>
          <w:rFonts w:hint="eastAsia"/>
          <w:color w:val="auto"/>
          <w:sz w:val="21"/>
          <w:szCs w:val="21"/>
        </w:rPr>
        <w:t>馈线接头主要机械性能及温度要求见下表：</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418"/>
        <w:gridCol w:w="2020"/>
        <w:gridCol w:w="3888"/>
      </w:tblGrid>
      <w:tr w14:paraId="6768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665" w:type="pct"/>
            <w:gridSpan w:val="2"/>
            <w:tcBorders>
              <w:top w:val="single" w:color="auto" w:sz="8" w:space="0"/>
              <w:left w:val="single" w:color="auto" w:sz="8" w:space="0"/>
              <w:bottom w:val="single" w:color="auto" w:sz="4" w:space="0"/>
              <w:right w:val="single" w:color="auto" w:sz="4" w:space="0"/>
              <w:tl2br w:val="single" w:color="auto" w:sz="4" w:space="0"/>
            </w:tcBorders>
            <w:tcMar>
              <w:top w:w="0" w:type="dxa"/>
              <w:left w:w="0" w:type="dxa"/>
              <w:right w:w="0" w:type="dxa"/>
            </w:tcMar>
            <w:vAlign w:val="center"/>
          </w:tcPr>
          <w:p w14:paraId="3B893FAE">
            <w:pPr>
              <w:snapToGrid w:val="0"/>
              <w:jc w:val="center"/>
              <w:rPr>
                <w:color w:val="auto"/>
                <w:sz w:val="21"/>
                <w:szCs w:val="21"/>
              </w:rPr>
            </w:pPr>
            <w:r>
              <w:rPr>
                <w:rFonts w:hint="eastAsia"/>
                <w:color w:val="auto"/>
                <w:sz w:val="21"/>
                <w:szCs w:val="21"/>
              </w:rPr>
              <w:t xml:space="preserve">                                    规格</w:t>
            </w:r>
          </w:p>
          <w:p w14:paraId="1B5CDA3E">
            <w:pPr>
              <w:snapToGrid w:val="0"/>
              <w:ind w:left="56" w:leftChars="20" w:right="56" w:rightChars="20" w:firstLine="205" w:firstLineChars="98"/>
              <w:jc w:val="left"/>
              <w:rPr>
                <w:color w:val="auto"/>
                <w:sz w:val="21"/>
                <w:szCs w:val="21"/>
              </w:rPr>
            </w:pPr>
            <w:r>
              <w:rPr>
                <w:rFonts w:hint="eastAsia"/>
                <w:color w:val="auto"/>
                <w:sz w:val="21"/>
                <w:szCs w:val="21"/>
              </w:rPr>
              <w:t>项目</w:t>
            </w:r>
          </w:p>
        </w:tc>
        <w:tc>
          <w:tcPr>
            <w:tcW w:w="2335" w:type="pct"/>
            <w:tcBorders>
              <w:top w:val="single" w:color="auto" w:sz="8" w:space="0"/>
              <w:left w:val="single" w:color="auto" w:sz="4" w:space="0"/>
              <w:bottom w:val="single" w:color="auto" w:sz="4" w:space="0"/>
              <w:right w:val="single" w:color="auto" w:sz="8" w:space="0"/>
            </w:tcBorders>
            <w:tcMar>
              <w:top w:w="0" w:type="dxa"/>
              <w:left w:w="0" w:type="dxa"/>
              <w:right w:w="0" w:type="dxa"/>
            </w:tcMar>
            <w:vAlign w:val="center"/>
          </w:tcPr>
          <w:p w14:paraId="542D42CE">
            <w:pPr>
              <w:snapToGrid w:val="0"/>
              <w:jc w:val="center"/>
              <w:rPr>
                <w:color w:val="auto"/>
                <w:sz w:val="21"/>
                <w:szCs w:val="21"/>
              </w:rPr>
            </w:pPr>
            <w:r>
              <w:rPr>
                <w:rFonts w:hint="eastAsia"/>
                <w:color w:val="auto"/>
                <w:sz w:val="21"/>
                <w:szCs w:val="21"/>
              </w:rPr>
              <w:t>馈线接头</w:t>
            </w:r>
          </w:p>
        </w:tc>
      </w:tr>
      <w:tr w14:paraId="073B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665" w:type="pct"/>
            <w:gridSpan w:val="2"/>
            <w:tcBorders>
              <w:top w:val="single" w:color="auto" w:sz="4" w:space="0"/>
              <w:left w:val="single" w:color="auto" w:sz="8" w:space="0"/>
              <w:bottom w:val="single" w:color="auto" w:sz="4" w:space="0"/>
              <w:right w:val="single" w:color="auto" w:sz="4" w:space="0"/>
            </w:tcBorders>
            <w:tcMar>
              <w:top w:w="0" w:type="dxa"/>
              <w:left w:w="0" w:type="dxa"/>
              <w:right w:w="0" w:type="dxa"/>
            </w:tcMar>
            <w:vAlign w:val="center"/>
          </w:tcPr>
          <w:p w14:paraId="38C90F6E">
            <w:pPr>
              <w:snapToGrid w:val="0"/>
              <w:jc w:val="center"/>
              <w:rPr>
                <w:color w:val="auto"/>
                <w:sz w:val="21"/>
                <w:szCs w:val="21"/>
              </w:rPr>
            </w:pPr>
            <w:r>
              <w:rPr>
                <w:rFonts w:hint="eastAsia"/>
                <w:color w:val="auto"/>
                <w:sz w:val="21"/>
                <w:szCs w:val="21"/>
              </w:rPr>
              <w:t>特性阻抗（Ω）</w:t>
            </w:r>
          </w:p>
        </w:tc>
        <w:tc>
          <w:tcPr>
            <w:tcW w:w="2335" w:type="pct"/>
            <w:tcBorders>
              <w:top w:val="single" w:color="auto" w:sz="4" w:space="0"/>
              <w:left w:val="single" w:color="auto" w:sz="4" w:space="0"/>
              <w:bottom w:val="single" w:color="auto" w:sz="4" w:space="0"/>
              <w:right w:val="single" w:color="auto" w:sz="8" w:space="0"/>
            </w:tcBorders>
            <w:tcMar>
              <w:top w:w="0" w:type="dxa"/>
              <w:left w:w="0" w:type="dxa"/>
              <w:right w:w="0" w:type="dxa"/>
            </w:tcMar>
            <w:vAlign w:val="center"/>
          </w:tcPr>
          <w:p w14:paraId="1461CE7F">
            <w:pPr>
              <w:snapToGrid w:val="0"/>
              <w:jc w:val="center"/>
              <w:rPr>
                <w:color w:val="auto"/>
                <w:sz w:val="21"/>
                <w:szCs w:val="21"/>
              </w:rPr>
            </w:pPr>
            <w:r>
              <w:rPr>
                <w:rFonts w:hint="eastAsia"/>
                <w:color w:val="auto"/>
                <w:sz w:val="21"/>
                <w:szCs w:val="21"/>
              </w:rPr>
              <w:t>50</w:t>
            </w:r>
            <w:r>
              <w:rPr>
                <w:rFonts w:hint="eastAsia" w:ascii="宋体" w:hAnsi="宋体"/>
                <w:color w:val="auto"/>
                <w:sz w:val="21"/>
                <w:szCs w:val="21"/>
              </w:rPr>
              <w:t>±</w:t>
            </w:r>
            <w:r>
              <w:rPr>
                <w:rFonts w:hint="eastAsia"/>
                <w:color w:val="auto"/>
                <w:sz w:val="21"/>
                <w:szCs w:val="21"/>
              </w:rPr>
              <w:t>2</w:t>
            </w:r>
          </w:p>
        </w:tc>
      </w:tr>
      <w:tr w14:paraId="4BD3A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665" w:type="pct"/>
            <w:gridSpan w:val="2"/>
            <w:tcBorders>
              <w:top w:val="single" w:color="auto" w:sz="4" w:space="0"/>
              <w:left w:val="single" w:color="auto" w:sz="8" w:space="0"/>
              <w:bottom w:val="single" w:color="auto" w:sz="4" w:space="0"/>
              <w:right w:val="single" w:color="auto" w:sz="4" w:space="0"/>
            </w:tcBorders>
            <w:tcMar>
              <w:top w:w="0" w:type="dxa"/>
              <w:left w:w="0" w:type="dxa"/>
              <w:right w:w="0" w:type="dxa"/>
            </w:tcMar>
            <w:vAlign w:val="center"/>
          </w:tcPr>
          <w:p w14:paraId="16B4FE86">
            <w:pPr>
              <w:snapToGrid w:val="0"/>
              <w:jc w:val="center"/>
              <w:rPr>
                <w:color w:val="auto"/>
                <w:sz w:val="21"/>
                <w:szCs w:val="21"/>
              </w:rPr>
            </w:pPr>
            <w:r>
              <w:rPr>
                <w:rFonts w:hint="eastAsia"/>
                <w:color w:val="auto"/>
                <w:sz w:val="21"/>
                <w:szCs w:val="21"/>
              </w:rPr>
              <w:t>插入损耗（dB）</w:t>
            </w:r>
          </w:p>
        </w:tc>
        <w:tc>
          <w:tcPr>
            <w:tcW w:w="2335" w:type="pct"/>
            <w:tcBorders>
              <w:top w:val="single" w:color="auto" w:sz="4" w:space="0"/>
              <w:left w:val="single" w:color="auto" w:sz="4" w:space="0"/>
              <w:bottom w:val="single" w:color="auto" w:sz="4" w:space="0"/>
              <w:right w:val="single" w:color="auto" w:sz="8" w:space="0"/>
            </w:tcBorders>
            <w:tcMar>
              <w:top w:w="0" w:type="dxa"/>
              <w:left w:w="0" w:type="dxa"/>
              <w:right w:w="0" w:type="dxa"/>
            </w:tcMar>
            <w:vAlign w:val="center"/>
          </w:tcPr>
          <w:p w14:paraId="38951F04">
            <w:pPr>
              <w:snapToGrid w:val="0"/>
              <w:jc w:val="center"/>
              <w:rPr>
                <w:color w:val="auto"/>
                <w:sz w:val="21"/>
                <w:szCs w:val="21"/>
              </w:rPr>
            </w:pPr>
            <w:r>
              <w:rPr>
                <w:rFonts w:hint="eastAsia" w:ascii="宋体" w:hAnsi="宋体"/>
                <w:color w:val="auto"/>
                <w:sz w:val="21"/>
                <w:szCs w:val="21"/>
              </w:rPr>
              <w:t>≤</w:t>
            </w:r>
            <w:r>
              <w:rPr>
                <w:rFonts w:hint="eastAsia"/>
                <w:color w:val="auto"/>
                <w:sz w:val="21"/>
                <w:szCs w:val="21"/>
              </w:rPr>
              <w:t>0.16</w:t>
            </w:r>
          </w:p>
        </w:tc>
      </w:tr>
      <w:tr w14:paraId="37143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665" w:type="pct"/>
            <w:gridSpan w:val="2"/>
            <w:tcBorders>
              <w:top w:val="single" w:color="auto" w:sz="4" w:space="0"/>
              <w:left w:val="single" w:color="auto" w:sz="8" w:space="0"/>
              <w:bottom w:val="single" w:color="auto" w:sz="4" w:space="0"/>
              <w:right w:val="single" w:color="auto" w:sz="4" w:space="0"/>
            </w:tcBorders>
            <w:tcMar>
              <w:top w:w="0" w:type="dxa"/>
              <w:left w:w="0" w:type="dxa"/>
              <w:right w:w="0" w:type="dxa"/>
            </w:tcMar>
            <w:vAlign w:val="center"/>
          </w:tcPr>
          <w:p w14:paraId="120B43AF">
            <w:pPr>
              <w:snapToGrid w:val="0"/>
              <w:jc w:val="center"/>
              <w:rPr>
                <w:color w:val="auto"/>
                <w:sz w:val="21"/>
                <w:szCs w:val="21"/>
              </w:rPr>
            </w:pPr>
            <w:r>
              <w:rPr>
                <w:rFonts w:hint="eastAsia"/>
                <w:color w:val="auto"/>
                <w:sz w:val="21"/>
                <w:szCs w:val="21"/>
              </w:rPr>
              <w:t>绝缘介电强度AC，V/min</w:t>
            </w:r>
          </w:p>
        </w:tc>
        <w:tc>
          <w:tcPr>
            <w:tcW w:w="2335" w:type="pct"/>
            <w:tcBorders>
              <w:top w:val="single" w:color="auto" w:sz="4" w:space="0"/>
              <w:left w:val="single" w:color="auto" w:sz="4" w:space="0"/>
              <w:bottom w:val="single" w:color="auto" w:sz="4" w:space="0"/>
              <w:right w:val="single" w:color="auto" w:sz="8" w:space="0"/>
            </w:tcBorders>
            <w:tcMar>
              <w:top w:w="0" w:type="dxa"/>
              <w:left w:w="0" w:type="dxa"/>
              <w:right w:w="0" w:type="dxa"/>
            </w:tcMar>
            <w:vAlign w:val="center"/>
          </w:tcPr>
          <w:p w14:paraId="55304001">
            <w:pPr>
              <w:snapToGrid w:val="0"/>
              <w:jc w:val="center"/>
              <w:rPr>
                <w:color w:val="auto"/>
                <w:sz w:val="21"/>
                <w:szCs w:val="21"/>
              </w:rPr>
            </w:pPr>
            <w:r>
              <w:rPr>
                <w:rFonts w:hint="eastAsia" w:ascii="宋体" w:hAnsi="宋体"/>
                <w:color w:val="auto"/>
                <w:sz w:val="21"/>
                <w:szCs w:val="21"/>
              </w:rPr>
              <w:t>≥</w:t>
            </w:r>
            <w:r>
              <w:rPr>
                <w:rFonts w:hint="eastAsia"/>
                <w:color w:val="auto"/>
                <w:sz w:val="21"/>
                <w:szCs w:val="21"/>
              </w:rPr>
              <w:t>2500</w:t>
            </w:r>
          </w:p>
        </w:tc>
      </w:tr>
      <w:tr w14:paraId="724FA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665" w:type="pct"/>
            <w:gridSpan w:val="2"/>
            <w:tcBorders>
              <w:top w:val="single" w:color="auto" w:sz="4" w:space="0"/>
              <w:left w:val="single" w:color="auto" w:sz="8" w:space="0"/>
              <w:bottom w:val="single" w:color="auto" w:sz="4" w:space="0"/>
              <w:right w:val="single" w:color="auto" w:sz="4" w:space="0"/>
            </w:tcBorders>
            <w:tcMar>
              <w:top w:w="0" w:type="dxa"/>
              <w:left w:w="0" w:type="dxa"/>
              <w:right w:w="0" w:type="dxa"/>
            </w:tcMar>
            <w:vAlign w:val="center"/>
          </w:tcPr>
          <w:p w14:paraId="1ED03DFD">
            <w:pPr>
              <w:snapToGrid w:val="0"/>
              <w:jc w:val="center"/>
              <w:rPr>
                <w:color w:val="auto"/>
                <w:sz w:val="21"/>
                <w:szCs w:val="21"/>
              </w:rPr>
            </w:pPr>
            <w:r>
              <w:rPr>
                <w:rFonts w:hint="eastAsia"/>
                <w:color w:val="auto"/>
                <w:sz w:val="21"/>
                <w:szCs w:val="21"/>
              </w:rPr>
              <w:t>最小绝缘电阻（MΩ）</w:t>
            </w:r>
          </w:p>
        </w:tc>
        <w:tc>
          <w:tcPr>
            <w:tcW w:w="2335" w:type="pct"/>
            <w:tcBorders>
              <w:top w:val="single" w:color="auto" w:sz="4" w:space="0"/>
              <w:left w:val="single" w:color="auto" w:sz="4" w:space="0"/>
              <w:bottom w:val="single" w:color="auto" w:sz="4" w:space="0"/>
              <w:right w:val="single" w:color="auto" w:sz="8" w:space="0"/>
            </w:tcBorders>
            <w:tcMar>
              <w:top w:w="0" w:type="dxa"/>
              <w:left w:w="0" w:type="dxa"/>
              <w:right w:w="0" w:type="dxa"/>
            </w:tcMar>
            <w:vAlign w:val="center"/>
          </w:tcPr>
          <w:p w14:paraId="35E6CCE8">
            <w:pPr>
              <w:snapToGrid w:val="0"/>
              <w:jc w:val="center"/>
              <w:rPr>
                <w:color w:val="auto"/>
                <w:sz w:val="21"/>
                <w:szCs w:val="21"/>
              </w:rPr>
            </w:pPr>
            <w:r>
              <w:rPr>
                <w:rFonts w:hint="eastAsia" w:ascii="宋体" w:hAnsi="宋体"/>
                <w:color w:val="auto"/>
                <w:sz w:val="21"/>
                <w:szCs w:val="21"/>
              </w:rPr>
              <w:t>≥</w:t>
            </w:r>
            <w:r>
              <w:rPr>
                <w:rFonts w:hint="eastAsia"/>
                <w:color w:val="auto"/>
                <w:sz w:val="21"/>
                <w:szCs w:val="21"/>
              </w:rPr>
              <w:t>5000</w:t>
            </w:r>
          </w:p>
        </w:tc>
      </w:tr>
      <w:tr w14:paraId="52BF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52" w:type="pct"/>
            <w:vMerge w:val="restart"/>
            <w:tcBorders>
              <w:top w:val="single" w:color="auto" w:sz="4" w:space="0"/>
              <w:left w:val="single" w:color="auto" w:sz="8" w:space="0"/>
              <w:bottom w:val="single" w:color="auto" w:sz="4" w:space="0"/>
              <w:right w:val="single" w:color="auto" w:sz="4" w:space="0"/>
            </w:tcBorders>
            <w:tcMar>
              <w:top w:w="0" w:type="dxa"/>
              <w:left w:w="0" w:type="dxa"/>
              <w:right w:w="0" w:type="dxa"/>
            </w:tcMar>
            <w:vAlign w:val="center"/>
          </w:tcPr>
          <w:p w14:paraId="75486417">
            <w:pPr>
              <w:snapToGrid w:val="0"/>
              <w:jc w:val="center"/>
              <w:rPr>
                <w:color w:val="auto"/>
                <w:sz w:val="21"/>
                <w:szCs w:val="21"/>
              </w:rPr>
            </w:pPr>
            <w:r>
              <w:rPr>
                <w:rFonts w:hint="eastAsia"/>
                <w:color w:val="auto"/>
                <w:sz w:val="21"/>
                <w:szCs w:val="21"/>
              </w:rPr>
              <w:t>接触电阻（mΩ）</w:t>
            </w:r>
          </w:p>
        </w:tc>
        <w:tc>
          <w:tcPr>
            <w:tcW w:w="1213" w:type="pct"/>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14:paraId="7534B52C">
            <w:pPr>
              <w:snapToGrid w:val="0"/>
              <w:jc w:val="center"/>
              <w:rPr>
                <w:color w:val="auto"/>
                <w:sz w:val="21"/>
                <w:szCs w:val="21"/>
              </w:rPr>
            </w:pPr>
            <w:r>
              <w:rPr>
                <w:rFonts w:hint="eastAsia"/>
                <w:color w:val="auto"/>
                <w:sz w:val="21"/>
                <w:szCs w:val="21"/>
              </w:rPr>
              <w:t>外导体</w:t>
            </w:r>
          </w:p>
        </w:tc>
        <w:tc>
          <w:tcPr>
            <w:tcW w:w="2335" w:type="pct"/>
            <w:tcBorders>
              <w:top w:val="single" w:color="auto" w:sz="4" w:space="0"/>
              <w:left w:val="single" w:color="auto" w:sz="4" w:space="0"/>
              <w:bottom w:val="single" w:color="auto" w:sz="4" w:space="0"/>
              <w:right w:val="single" w:color="auto" w:sz="8" w:space="0"/>
            </w:tcBorders>
            <w:tcMar>
              <w:top w:w="0" w:type="dxa"/>
              <w:left w:w="0" w:type="dxa"/>
              <w:right w:w="0" w:type="dxa"/>
            </w:tcMar>
            <w:vAlign w:val="center"/>
          </w:tcPr>
          <w:p w14:paraId="02174BB4">
            <w:pPr>
              <w:snapToGrid w:val="0"/>
              <w:jc w:val="center"/>
              <w:rPr>
                <w:color w:val="auto"/>
                <w:sz w:val="21"/>
                <w:szCs w:val="21"/>
              </w:rPr>
            </w:pPr>
            <w:r>
              <w:rPr>
                <w:rFonts w:hint="eastAsia" w:ascii="宋体" w:hAnsi="宋体"/>
                <w:color w:val="auto"/>
                <w:sz w:val="21"/>
                <w:szCs w:val="21"/>
              </w:rPr>
              <w:t>≤</w:t>
            </w:r>
            <w:r>
              <w:rPr>
                <w:rFonts w:hint="eastAsia"/>
                <w:color w:val="auto"/>
                <w:sz w:val="21"/>
                <w:szCs w:val="21"/>
              </w:rPr>
              <w:t>2.5</w:t>
            </w:r>
          </w:p>
        </w:tc>
      </w:tr>
      <w:tr w14:paraId="1E438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52" w:type="pct"/>
            <w:vMerge w:val="continue"/>
            <w:tcBorders>
              <w:top w:val="single" w:color="auto" w:sz="4" w:space="0"/>
              <w:left w:val="single" w:color="auto" w:sz="8" w:space="0"/>
              <w:bottom w:val="single" w:color="auto" w:sz="4" w:space="0"/>
              <w:right w:val="single" w:color="auto" w:sz="4" w:space="0"/>
            </w:tcBorders>
            <w:tcMar>
              <w:top w:w="0" w:type="dxa"/>
              <w:left w:w="0" w:type="dxa"/>
              <w:right w:w="0" w:type="dxa"/>
            </w:tcMar>
            <w:vAlign w:val="center"/>
          </w:tcPr>
          <w:p w14:paraId="28526F1E">
            <w:pPr>
              <w:snapToGrid w:val="0"/>
              <w:jc w:val="center"/>
              <w:rPr>
                <w:color w:val="auto"/>
                <w:sz w:val="21"/>
                <w:szCs w:val="21"/>
              </w:rPr>
            </w:pPr>
          </w:p>
        </w:tc>
        <w:tc>
          <w:tcPr>
            <w:tcW w:w="1213" w:type="pct"/>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14:paraId="7D7D95EE">
            <w:pPr>
              <w:snapToGrid w:val="0"/>
              <w:jc w:val="center"/>
              <w:rPr>
                <w:color w:val="auto"/>
                <w:sz w:val="21"/>
                <w:szCs w:val="21"/>
              </w:rPr>
            </w:pPr>
            <w:r>
              <w:rPr>
                <w:rFonts w:hint="eastAsia"/>
                <w:color w:val="auto"/>
                <w:sz w:val="21"/>
                <w:szCs w:val="21"/>
              </w:rPr>
              <w:t>内导体</w:t>
            </w:r>
          </w:p>
        </w:tc>
        <w:tc>
          <w:tcPr>
            <w:tcW w:w="2335" w:type="pct"/>
            <w:tcBorders>
              <w:top w:val="single" w:color="auto" w:sz="4" w:space="0"/>
              <w:left w:val="single" w:color="auto" w:sz="4" w:space="0"/>
              <w:bottom w:val="single" w:color="auto" w:sz="4" w:space="0"/>
              <w:right w:val="single" w:color="auto" w:sz="8" w:space="0"/>
            </w:tcBorders>
            <w:tcMar>
              <w:top w:w="0" w:type="dxa"/>
              <w:left w:w="0" w:type="dxa"/>
              <w:right w:w="0" w:type="dxa"/>
            </w:tcMar>
            <w:vAlign w:val="center"/>
          </w:tcPr>
          <w:p w14:paraId="55EDC8F7">
            <w:pPr>
              <w:snapToGrid w:val="0"/>
              <w:jc w:val="center"/>
              <w:rPr>
                <w:color w:val="auto"/>
                <w:sz w:val="21"/>
                <w:szCs w:val="21"/>
              </w:rPr>
            </w:pPr>
            <w:r>
              <w:rPr>
                <w:rFonts w:hint="eastAsia" w:ascii="宋体" w:hAnsi="宋体"/>
                <w:color w:val="auto"/>
                <w:sz w:val="21"/>
                <w:szCs w:val="21"/>
              </w:rPr>
              <w:t>≤</w:t>
            </w:r>
            <w:r>
              <w:rPr>
                <w:rFonts w:hint="eastAsia"/>
                <w:color w:val="auto"/>
                <w:sz w:val="21"/>
                <w:szCs w:val="21"/>
              </w:rPr>
              <w:t>10</w:t>
            </w:r>
          </w:p>
        </w:tc>
      </w:tr>
      <w:tr w14:paraId="4357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665" w:type="pct"/>
            <w:gridSpan w:val="2"/>
            <w:tcBorders>
              <w:top w:val="single" w:color="auto" w:sz="4" w:space="0"/>
              <w:left w:val="single" w:color="auto" w:sz="8" w:space="0"/>
              <w:bottom w:val="single" w:color="auto" w:sz="8" w:space="0"/>
              <w:right w:val="single" w:color="auto" w:sz="4" w:space="0"/>
            </w:tcBorders>
            <w:tcMar>
              <w:top w:w="0" w:type="dxa"/>
              <w:left w:w="0" w:type="dxa"/>
              <w:right w:w="0" w:type="dxa"/>
            </w:tcMar>
            <w:vAlign w:val="center"/>
          </w:tcPr>
          <w:p w14:paraId="20D7F329">
            <w:pPr>
              <w:snapToGrid w:val="0"/>
              <w:jc w:val="center"/>
              <w:rPr>
                <w:color w:val="auto"/>
                <w:sz w:val="21"/>
                <w:szCs w:val="21"/>
              </w:rPr>
            </w:pPr>
            <w:r>
              <w:rPr>
                <w:rFonts w:hint="eastAsia"/>
                <w:color w:val="auto"/>
                <w:sz w:val="21"/>
                <w:szCs w:val="21"/>
              </w:rPr>
              <w:t>电压驻波比</w:t>
            </w:r>
          </w:p>
        </w:tc>
        <w:tc>
          <w:tcPr>
            <w:tcW w:w="2335" w:type="pct"/>
            <w:tcBorders>
              <w:top w:val="single" w:color="auto" w:sz="4" w:space="0"/>
              <w:left w:val="single" w:color="auto" w:sz="4" w:space="0"/>
              <w:bottom w:val="single" w:color="auto" w:sz="8" w:space="0"/>
              <w:right w:val="single" w:color="auto" w:sz="8" w:space="0"/>
            </w:tcBorders>
            <w:tcMar>
              <w:top w:w="0" w:type="dxa"/>
              <w:left w:w="0" w:type="dxa"/>
              <w:right w:w="0" w:type="dxa"/>
            </w:tcMar>
            <w:vAlign w:val="center"/>
          </w:tcPr>
          <w:p w14:paraId="17982884">
            <w:pPr>
              <w:snapToGrid w:val="0"/>
              <w:jc w:val="center"/>
              <w:rPr>
                <w:color w:val="auto"/>
                <w:sz w:val="21"/>
                <w:szCs w:val="21"/>
              </w:rPr>
            </w:pPr>
            <w:r>
              <w:rPr>
                <w:rFonts w:hint="eastAsia" w:ascii="宋体" w:hAnsi="宋体"/>
                <w:color w:val="auto"/>
                <w:sz w:val="21"/>
                <w:szCs w:val="21"/>
              </w:rPr>
              <w:t>≤</w:t>
            </w:r>
            <w:r>
              <w:rPr>
                <w:rFonts w:hint="eastAsia"/>
                <w:color w:val="auto"/>
                <w:sz w:val="21"/>
                <w:szCs w:val="21"/>
              </w:rPr>
              <w:t>1.15</w:t>
            </w:r>
          </w:p>
        </w:tc>
      </w:tr>
    </w:tbl>
    <w:p w14:paraId="7BDDC81F">
      <w:pPr>
        <w:spacing w:before="120"/>
        <w:ind w:firstLine="420" w:firstLineChars="200"/>
        <w:rPr>
          <w:color w:val="auto"/>
          <w:sz w:val="21"/>
          <w:szCs w:val="21"/>
        </w:rPr>
      </w:pPr>
      <w:r>
        <w:rPr>
          <w:rFonts w:hint="eastAsia"/>
          <w:color w:val="auto"/>
          <w:sz w:val="21"/>
          <w:szCs w:val="21"/>
        </w:rPr>
        <w:t>馈线护套应采用防日晒、防老化的材料。</w:t>
      </w:r>
    </w:p>
    <w:p w14:paraId="06534932">
      <w:pPr>
        <w:ind w:firstLine="420" w:firstLineChars="200"/>
        <w:rPr>
          <w:color w:val="auto"/>
          <w:sz w:val="21"/>
          <w:szCs w:val="21"/>
        </w:rPr>
      </w:pPr>
      <w:r>
        <w:rPr>
          <w:rFonts w:hint="eastAsia"/>
          <w:color w:val="auto"/>
          <w:sz w:val="21"/>
          <w:szCs w:val="21"/>
        </w:rPr>
        <w:t>工程中如用到</w:t>
      </w:r>
      <w:r>
        <w:rPr>
          <w:color w:val="auto"/>
          <w:sz w:val="21"/>
          <w:szCs w:val="21"/>
        </w:rPr>
        <w:t>1/2</w:t>
      </w:r>
      <w:r>
        <w:rPr>
          <w:rFonts w:hint="eastAsia" w:ascii="宋体" w:hAnsi="宋体"/>
          <w:color w:val="auto"/>
          <w:sz w:val="21"/>
          <w:szCs w:val="21"/>
        </w:rPr>
        <w:t>”</w:t>
      </w:r>
      <w:r>
        <w:rPr>
          <w:rFonts w:hint="eastAsia"/>
          <w:color w:val="auto"/>
          <w:sz w:val="21"/>
          <w:szCs w:val="21"/>
        </w:rPr>
        <w:t>馈线，电气性能、机械性能应满足相关标准要求。</w:t>
      </w:r>
    </w:p>
    <w:p w14:paraId="18C3B7B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C1649A"/>
    <w:multiLevelType w:val="multilevel"/>
    <w:tmpl w:val="18C1649A"/>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8D45DB"/>
    <w:rsid w:val="0D8D45DB"/>
    <w:rsid w:val="5F2833B9"/>
    <w:rsid w:val="63F644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8"/>
      <w:szCs w:val="28"/>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qFormat/>
    <w:uiPriority w:val="0"/>
    <w:pPr>
      <w:spacing w:line="360" w:lineRule="auto"/>
      <w:ind w:firstLine="200" w:firstLineChars="200"/>
    </w:pPr>
    <w:rPr>
      <w:rFonts w:ascii="宋体" w:hAnsi="Courier New" w:eastAsia="仿宋_GB2312"/>
      <w:sz w:val="20"/>
      <w:szCs w:val="21"/>
    </w:rPr>
  </w:style>
  <w:style w:type="paragraph" w:styleId="3">
    <w:name w:val="Normal (Web)"/>
    <w:basedOn w:val="1"/>
    <w:unhideWhenUsed/>
    <w:qFormat/>
    <w:uiPriority w:val="99"/>
    <w:pPr>
      <w:widowControl/>
      <w:spacing w:before="100" w:beforeAutospacing="1" w:after="100" w:afterAutospacing="1"/>
      <w:jc w:val="left"/>
    </w:pPr>
    <w:rPr>
      <w:rFonts w:ascii="宋体" w:hAnsi="宋体" w:cs="宋体"/>
      <w:sz w:val="24"/>
    </w:rPr>
  </w:style>
  <w:style w:type="paragraph" w:customStyle="1" w:styleId="6">
    <w:name w:val="图表标题"/>
    <w:basedOn w:val="1"/>
    <w:qFormat/>
    <w:uiPriority w:val="0"/>
    <w:pPr>
      <w:jc w:val="center"/>
    </w:pPr>
    <w:rPr>
      <w:bCs/>
      <w:sz w:val="24"/>
      <w:szCs w:val="24"/>
    </w:rPr>
  </w:style>
  <w:style w:type="paragraph" w:customStyle="1" w:styleId="7">
    <w:name w:val="环小四（一级章节）"/>
    <w:qFormat/>
    <w:uiPriority w:val="0"/>
    <w:pPr>
      <w:widowControl w:val="0"/>
      <w:spacing w:before="50" w:beforeLines="50" w:after="50" w:afterLines="50"/>
      <w:jc w:val="center"/>
      <w:outlineLvl w:val="0"/>
    </w:pPr>
    <w:rPr>
      <w:rFonts w:ascii="宋体" w:hAnsi="宋体" w:eastAsia="宋体" w:cs="Times New Roman"/>
      <w:b/>
      <w:bCs/>
      <w:color w:val="000000"/>
      <w:kern w:val="2"/>
      <w:sz w:val="30"/>
      <w:szCs w:val="32"/>
      <w:lang w:val="en-US" w:eastAsia="zh-CN" w:bidi="ar-SA"/>
    </w:rPr>
  </w:style>
  <w:style w:type="paragraph" w:customStyle="1" w:styleId="8">
    <w:name w:val="环小四1（二级）"/>
    <w:qFormat/>
    <w:uiPriority w:val="0"/>
    <w:pPr>
      <w:widowControl w:val="0"/>
      <w:outlineLvl w:val="1"/>
    </w:pPr>
    <w:rPr>
      <w:rFonts w:ascii="宋体" w:hAnsi="宋体" w:eastAsia="宋体" w:cs="Times New Roman"/>
      <w:b/>
      <w:bCs/>
      <w:color w:val="000000"/>
      <w:kern w:val="24"/>
      <w:sz w:val="24"/>
      <w:szCs w:val="24"/>
      <w:lang w:val="en-US" w:eastAsia="zh-CN" w:bidi="ar-SA"/>
    </w:rPr>
  </w:style>
  <w:style w:type="character" w:customStyle="1" w:styleId="9">
    <w:name w:val="font01"/>
    <w:qFormat/>
    <w:uiPriority w:val="0"/>
    <w:rPr>
      <w:rFonts w:hint="eastAsia" w:ascii="宋体" w:hAnsi="宋体" w:eastAsia="宋体" w:cs="宋体"/>
      <w:color w:val="000000"/>
      <w:sz w:val="21"/>
      <w:szCs w:val="21"/>
      <w:u w:val="none"/>
    </w:rPr>
  </w:style>
  <w:style w:type="paragraph" w:customStyle="1" w:styleId="10">
    <w:name w:val="环小四注"/>
    <w:basedOn w:val="1"/>
    <w:qFormat/>
    <w:uiPriority w:val="0"/>
    <w:pPr>
      <w:spacing w:line="400" w:lineRule="exact"/>
      <w:ind w:firstLine="200" w:firstLineChars="200"/>
    </w:pPr>
    <w:rPr>
      <w:rFonts w:ascii="宋体" w:hAnsi="宋体" w:eastAsia="楷体_GB2312"/>
      <w:color w:val="000000"/>
      <w:kern w:val="2"/>
      <w:sz w:val="18"/>
      <w:szCs w:val="18"/>
    </w:rPr>
  </w:style>
  <w:style w:type="paragraph" w:customStyle="1" w:styleId="11">
    <w:name w:val="环小四内容"/>
    <w:basedOn w:val="1"/>
    <w:qFormat/>
    <w:uiPriority w:val="0"/>
    <w:pPr>
      <w:ind w:firstLine="200" w:firstLineChars="200"/>
    </w:pPr>
    <w:rPr>
      <w:rFonts w:ascii="宋体" w:hAnsi="宋体"/>
      <w:kern w:val="2"/>
      <w:sz w:val="24"/>
      <w:szCs w:val="24"/>
    </w:rPr>
  </w:style>
  <w:style w:type="paragraph" w:customStyle="1" w:styleId="12">
    <w:name w:val="环小四1.1（三级）"/>
    <w:qFormat/>
    <w:uiPriority w:val="0"/>
    <w:pPr>
      <w:widowControl w:val="0"/>
      <w:jc w:val="both"/>
      <w:outlineLvl w:val="2"/>
    </w:pPr>
    <w:rPr>
      <w:rFonts w:ascii="宋体" w:hAnsi="宋体" w:eastAsia="楷体_GB2312" w:cs="Times New Roman"/>
      <w:b/>
      <w:bCs/>
      <w:kern w:val="44"/>
      <w:sz w:val="24"/>
      <w:szCs w:val="24"/>
      <w:lang w:val="en-US" w:eastAsia="zh-CN" w:bidi="ar-SA"/>
    </w:rPr>
  </w:style>
  <w:style w:type="paragraph" w:customStyle="1" w:styleId="13">
    <w:name w:val="中文版式正文"/>
    <w:basedOn w:val="1"/>
    <w:qFormat/>
    <w:uiPriority w:val="0"/>
    <w:pPr>
      <w:wordWrap w:val="0"/>
      <w:spacing w:after="50" w:afterLines="50" w:line="300" w:lineRule="auto"/>
    </w:pPr>
    <w:rPr>
      <w:rFonts w:ascii="宋体" w:hAnsi="宋体"/>
      <w:color w:val="000000"/>
      <w:kern w:val="2"/>
      <w:sz w:val="24"/>
      <w:szCs w:val="20"/>
    </w:rPr>
  </w:style>
  <w:style w:type="paragraph" w:customStyle="1" w:styleId="14">
    <w:name w:val="标4"/>
    <w:basedOn w:val="1"/>
    <w:qFormat/>
    <w:uiPriority w:val="0"/>
    <w:rPr>
      <w:rFonts w:ascii="宋体" w:hAnsi="宋体"/>
      <w:b/>
      <w:snapToGrid w:val="0"/>
      <w:color w:val="000000"/>
      <w:kern w:val="2"/>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46</Pages>
  <Words>18227</Words>
  <Characters>19095</Characters>
  <Lines>0</Lines>
  <Paragraphs>0</Paragraphs>
  <TotalTime>3</TotalTime>
  <ScaleCrop>false</ScaleCrop>
  <LinksUpToDate>false</LinksUpToDate>
  <CharactersWithSpaces>19295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2026-07-20T07:44:00Z</dcterms:created>
  <dc:creator>齐春梅</dc:creator>
  <cp:lastModifiedBy>齐春梅</cp:lastModifiedBy>
  <dcterms:modified xsi:type="dcterms:W3CDTF">2026-07-20T08:13:14Z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523885D49A9C42AEAD7C1CE500675D04_11</vt:lpwstr>
  </property>
  <property fmtid="{D5CDD505-2E9C-101B-9397-08002B2CF9AE}" pid="4" name="KSOTemplateDocerSaveRecord">
    <vt:lpwstr>eyJoZGlkIjoiNmQ2YjAyN2FkNGUxODNiZmE5MjExOThjMDZjOTMxM2IiLCJ1c2VySWQiOiI0MzIyNDYzNzAifQ==</vt:lpwstr>
  </property>
</Properties>
</file>